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6E2F1" w14:textId="36A8C1ED" w:rsidR="00EC0CBC" w:rsidRPr="00784C62" w:rsidRDefault="009B26F1" w:rsidP="00A15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 w:rsidRPr="00784C62">
        <w:rPr>
          <w:b/>
          <w:bCs/>
          <w:color w:val="000000"/>
        </w:rPr>
        <w:t>Los Angeles Robotics Annual Board Meeting and Elections</w:t>
      </w:r>
    </w:p>
    <w:p w14:paraId="47AE886E" w14:textId="6787A37D" w:rsidR="00EC0CBC" w:rsidRPr="00784C62" w:rsidRDefault="00EC0CBC" w:rsidP="00A15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784C62">
        <w:rPr>
          <w:color w:val="000000"/>
        </w:rPr>
        <w:t>May 2</w:t>
      </w:r>
      <w:r w:rsidR="004F7F52">
        <w:rPr>
          <w:color w:val="000000"/>
        </w:rPr>
        <w:t>2</w:t>
      </w:r>
      <w:r w:rsidRPr="00784C62">
        <w:rPr>
          <w:color w:val="000000"/>
        </w:rPr>
        <w:t>, 202</w:t>
      </w:r>
      <w:r w:rsidR="004F7F52">
        <w:rPr>
          <w:color w:val="000000"/>
        </w:rPr>
        <w:t>4</w:t>
      </w:r>
      <w:r w:rsidR="009B26F1" w:rsidRPr="00784C62">
        <w:rPr>
          <w:color w:val="000000"/>
        </w:rPr>
        <w:t>, 7:00-9:00 PM Pacific</w:t>
      </w:r>
    </w:p>
    <w:p w14:paraId="0E386131" w14:textId="0478C271" w:rsidR="009B26F1" w:rsidRPr="00784C62" w:rsidRDefault="009B26F1" w:rsidP="00A15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784C62">
        <w:rPr>
          <w:color w:val="000000"/>
        </w:rPr>
        <w:t>Zoom Meeting</w:t>
      </w:r>
      <w:r w:rsidR="00F85837" w:rsidRPr="00784C62">
        <w:rPr>
          <w:color w:val="000000"/>
        </w:rPr>
        <w:t xml:space="preserve"> </w:t>
      </w:r>
      <w:r w:rsidR="004F7F52" w:rsidRPr="004F7F52">
        <w:t>Agenda</w:t>
      </w:r>
    </w:p>
    <w:p w14:paraId="307FDB33" w14:textId="77777777" w:rsidR="00EC0CBC" w:rsidRPr="00784C62" w:rsidRDefault="00EC0CBC" w:rsidP="00A15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55AF8A1D" w14:textId="4881ECD5" w:rsidR="00EC0CBC" w:rsidRPr="00784C62" w:rsidRDefault="00EC0CBC" w:rsidP="004F7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color w:val="000000"/>
        </w:rPr>
      </w:pPr>
      <w:r w:rsidRPr="00784C62">
        <w:rPr>
          <w:b/>
          <w:bCs/>
          <w:color w:val="000000"/>
        </w:rPr>
        <w:t>Attendees</w:t>
      </w:r>
      <w:r w:rsidRPr="00784C62">
        <w:rPr>
          <w:color w:val="000000"/>
        </w:rPr>
        <w:t xml:space="preserve">: </w:t>
      </w:r>
      <w:r w:rsidR="00F85837" w:rsidRPr="00784C62">
        <w:rPr>
          <w:color w:val="000000"/>
        </w:rPr>
        <w:t xml:space="preserve">Tony Young (President), Stephen Stein (Vice President), Terry Wells (Secretary), </w:t>
      </w:r>
      <w:r w:rsidRPr="00784C62">
        <w:rPr>
          <w:color w:val="000000"/>
        </w:rPr>
        <w:t>LeRoy Nelson</w:t>
      </w:r>
      <w:r w:rsidR="00F85837" w:rsidRPr="00784C62">
        <w:rPr>
          <w:color w:val="000000"/>
        </w:rPr>
        <w:t xml:space="preserve"> (Treasurer)</w:t>
      </w:r>
      <w:r w:rsidRPr="00784C62">
        <w:rPr>
          <w:color w:val="000000"/>
        </w:rPr>
        <w:t xml:space="preserve">, </w:t>
      </w:r>
      <w:r w:rsidR="00F85837" w:rsidRPr="00784C62">
        <w:t>Kip Louttit,</w:t>
      </w:r>
      <w:r w:rsidR="00F85837" w:rsidRPr="00784C62">
        <w:rPr>
          <w:color w:val="000000"/>
        </w:rPr>
        <w:t xml:space="preserve"> Anita Nelson, </w:t>
      </w:r>
      <w:r w:rsidRPr="00784C62">
        <w:rPr>
          <w:color w:val="000000"/>
        </w:rPr>
        <w:t>Joe Petito, Tarek Shraibati</w:t>
      </w:r>
    </w:p>
    <w:p w14:paraId="6ADB6A3F" w14:textId="1466B9F3" w:rsidR="00EC0CBC" w:rsidRPr="00784C62" w:rsidRDefault="00EC0CBC" w:rsidP="00A15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784C62">
        <w:rPr>
          <w:b/>
          <w:bCs/>
          <w:color w:val="000000"/>
        </w:rPr>
        <w:t>Absent</w:t>
      </w:r>
      <w:r w:rsidRPr="00784C62">
        <w:rPr>
          <w:color w:val="000000"/>
        </w:rPr>
        <w:t xml:space="preserve">: </w:t>
      </w:r>
    </w:p>
    <w:p w14:paraId="7796F12B" w14:textId="77777777" w:rsidR="009B26F1" w:rsidRPr="00784C62" w:rsidRDefault="009B26F1" w:rsidP="00A15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0755259F" w14:textId="5AC4A48D" w:rsidR="00784C62" w:rsidRPr="00784C62" w:rsidRDefault="00784C62" w:rsidP="00A15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784C62">
        <w:rPr>
          <w:b/>
          <w:bCs/>
          <w:color w:val="000000"/>
        </w:rPr>
        <w:t>Quorum:</w:t>
      </w:r>
      <w:r w:rsidRPr="00784C62">
        <w:rPr>
          <w:color w:val="000000"/>
        </w:rPr>
        <w:t xml:space="preserve"> 5 Directors</w:t>
      </w:r>
    </w:p>
    <w:p w14:paraId="1AB8A30B" w14:textId="77777777" w:rsidR="00784C62" w:rsidRPr="00784C62" w:rsidRDefault="00784C62" w:rsidP="00A15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3D028793" w14:textId="7319E1BD" w:rsidR="00EC0CBC" w:rsidRPr="00784C62" w:rsidRDefault="00791E53" w:rsidP="00A15435">
      <w:r>
        <w:rPr>
          <w:b/>
          <w:bCs/>
        </w:rPr>
        <w:t>Standard a</w:t>
      </w:r>
      <w:r w:rsidR="00EC0CBC" w:rsidRPr="00784C62">
        <w:rPr>
          <w:b/>
          <w:bCs/>
        </w:rPr>
        <w:t xml:space="preserve">genda items for the annual May Board </w:t>
      </w:r>
      <w:r w:rsidR="00F85837" w:rsidRPr="00784C62">
        <w:rPr>
          <w:b/>
          <w:bCs/>
        </w:rPr>
        <w:t>M</w:t>
      </w:r>
      <w:r w:rsidR="00EC0CBC" w:rsidRPr="00784C62">
        <w:rPr>
          <w:b/>
          <w:bCs/>
        </w:rPr>
        <w:t>eeting</w:t>
      </w:r>
      <w:r w:rsidR="00F85837" w:rsidRPr="00784C62">
        <w:rPr>
          <w:b/>
          <w:bCs/>
        </w:rPr>
        <w:t xml:space="preserve"> and Elections</w:t>
      </w:r>
      <w:r w:rsidR="00EC0CBC" w:rsidRPr="00784C62">
        <w:t>:</w:t>
      </w:r>
    </w:p>
    <w:p w14:paraId="2517F6E2" w14:textId="77777777" w:rsidR="00EC0CBC" w:rsidRPr="00784C62" w:rsidRDefault="00EC0CBC" w:rsidP="004F7F52">
      <w:pPr>
        <w:pStyle w:val="ListParagraph"/>
        <w:numPr>
          <w:ilvl w:val="0"/>
          <w:numId w:val="6"/>
        </w:numPr>
      </w:pPr>
      <w:r w:rsidRPr="00784C62">
        <w:t xml:space="preserve">Review and approve minutes of previous </w:t>
      </w:r>
      <w:proofErr w:type="gramStart"/>
      <w:r w:rsidRPr="00784C62">
        <w:t>meeting</w:t>
      </w:r>
      <w:proofErr w:type="gramEnd"/>
    </w:p>
    <w:p w14:paraId="236705D5" w14:textId="77777777" w:rsidR="00EC0CBC" w:rsidRPr="00784C62" w:rsidRDefault="00EC0CBC" w:rsidP="004F7F52">
      <w:pPr>
        <w:pStyle w:val="ListParagraph"/>
        <w:numPr>
          <w:ilvl w:val="0"/>
          <w:numId w:val="6"/>
        </w:numPr>
      </w:pPr>
      <w:r w:rsidRPr="00784C62">
        <w:t xml:space="preserve">Review liability insurance </w:t>
      </w:r>
      <w:proofErr w:type="gramStart"/>
      <w:r w:rsidRPr="00784C62">
        <w:t>coverage</w:t>
      </w:r>
      <w:proofErr w:type="gramEnd"/>
    </w:p>
    <w:p w14:paraId="42578C07" w14:textId="199D10DC" w:rsidR="00EC0CBC" w:rsidRPr="00784C62" w:rsidRDefault="00EC0CBC" w:rsidP="004F7F52">
      <w:pPr>
        <w:pStyle w:val="ListParagraph"/>
        <w:numPr>
          <w:ilvl w:val="0"/>
          <w:numId w:val="6"/>
        </w:numPr>
      </w:pPr>
      <w:r w:rsidRPr="00784C62">
        <w:t xml:space="preserve">Review interim financial reports for the </w:t>
      </w:r>
      <w:r w:rsidR="00F85837" w:rsidRPr="00784C62">
        <w:t xml:space="preserve">current </w:t>
      </w:r>
      <w:r w:rsidRPr="00784C62">
        <w:t>fiscal year, which ends June 30</w:t>
      </w:r>
    </w:p>
    <w:p w14:paraId="09C2F2D5" w14:textId="35E6A8F9" w:rsidR="00F85837" w:rsidRPr="004F7F52" w:rsidRDefault="00791E53" w:rsidP="004F7F52">
      <w:pPr>
        <w:pStyle w:val="ListParagraph"/>
        <w:numPr>
          <w:ilvl w:val="0"/>
          <w:numId w:val="6"/>
        </w:numPr>
        <w:rPr>
          <w:color w:val="FF0000"/>
        </w:rPr>
      </w:pPr>
      <w:r w:rsidRPr="004F7F52">
        <w:rPr>
          <w:color w:val="FF0000"/>
        </w:rPr>
        <w:t xml:space="preserve">Special item: </w:t>
      </w:r>
      <w:r w:rsidR="00F85837" w:rsidRPr="004F7F52">
        <w:rPr>
          <w:color w:val="FF0000"/>
        </w:rPr>
        <w:t xml:space="preserve">Discuss and approve disposition of funds held in SCRRF </w:t>
      </w:r>
      <w:proofErr w:type="gramStart"/>
      <w:r w:rsidR="00F85837" w:rsidRPr="004F7F52">
        <w:rPr>
          <w:color w:val="FF0000"/>
        </w:rPr>
        <w:t>accounts</w:t>
      </w:r>
      <w:proofErr w:type="gramEnd"/>
    </w:p>
    <w:p w14:paraId="33A3C59B" w14:textId="77777777" w:rsidR="00EC0CBC" w:rsidRPr="00784C62" w:rsidRDefault="00EC0CBC" w:rsidP="004F7F52">
      <w:pPr>
        <w:pStyle w:val="ListParagraph"/>
        <w:numPr>
          <w:ilvl w:val="0"/>
          <w:numId w:val="6"/>
        </w:numPr>
      </w:pPr>
      <w:r w:rsidRPr="00784C62">
        <w:t>Elect directors</w:t>
      </w:r>
    </w:p>
    <w:p w14:paraId="2CE095B7" w14:textId="77777777" w:rsidR="00EC0CBC" w:rsidRPr="00784C62" w:rsidRDefault="00EC0CBC" w:rsidP="004F7F52">
      <w:pPr>
        <w:pStyle w:val="ListParagraph"/>
        <w:numPr>
          <w:ilvl w:val="0"/>
          <w:numId w:val="6"/>
        </w:numPr>
      </w:pPr>
      <w:r w:rsidRPr="00784C62">
        <w:t>Elect officers: President, Vice President, Secretary, Treasurer</w:t>
      </w:r>
    </w:p>
    <w:p w14:paraId="3EDC4F1E" w14:textId="77777777" w:rsidR="00EC0CBC" w:rsidRPr="00784C62" w:rsidRDefault="00EC0CBC" w:rsidP="004F7F52">
      <w:pPr>
        <w:pStyle w:val="ListParagraph"/>
        <w:numPr>
          <w:ilvl w:val="0"/>
          <w:numId w:val="6"/>
        </w:numPr>
      </w:pPr>
      <w:r w:rsidRPr="00784C62">
        <w:t xml:space="preserve">Review committees and select committee </w:t>
      </w:r>
      <w:proofErr w:type="gramStart"/>
      <w:r w:rsidRPr="00784C62">
        <w:t>chairs</w:t>
      </w:r>
      <w:proofErr w:type="gramEnd"/>
    </w:p>
    <w:p w14:paraId="24D4103C" w14:textId="77777777" w:rsidR="00EC0CBC" w:rsidRPr="00784C62" w:rsidRDefault="00EC0CBC" w:rsidP="004F7F52">
      <w:pPr>
        <w:pStyle w:val="ListParagraph"/>
        <w:numPr>
          <w:ilvl w:val="0"/>
          <w:numId w:val="6"/>
        </w:numPr>
      </w:pPr>
      <w:r w:rsidRPr="00784C62">
        <w:t xml:space="preserve">Assign committee </w:t>
      </w:r>
      <w:proofErr w:type="gramStart"/>
      <w:r w:rsidRPr="00784C62">
        <w:t>members</w:t>
      </w:r>
      <w:proofErr w:type="gramEnd"/>
    </w:p>
    <w:p w14:paraId="767F9B92" w14:textId="59E1476C" w:rsidR="00EC0CBC" w:rsidRPr="00784C62" w:rsidRDefault="00EC0CBC" w:rsidP="004F7F52">
      <w:pPr>
        <w:pStyle w:val="ListParagraph"/>
        <w:numPr>
          <w:ilvl w:val="0"/>
          <w:numId w:val="6"/>
        </w:numPr>
      </w:pPr>
      <w:r w:rsidRPr="00784C62">
        <w:t>Committee reports: Audit, NTG, SCRRF, Website</w:t>
      </w:r>
    </w:p>
    <w:p w14:paraId="18801EB6" w14:textId="77777777" w:rsidR="00EC0CBC" w:rsidRPr="00784C62" w:rsidRDefault="00EC0CBC" w:rsidP="004F7F52">
      <w:pPr>
        <w:pStyle w:val="ListParagraph"/>
        <w:numPr>
          <w:ilvl w:val="1"/>
          <w:numId w:val="6"/>
        </w:numPr>
      </w:pPr>
      <w:r w:rsidRPr="00784C62">
        <w:t>Activities during the last year</w:t>
      </w:r>
    </w:p>
    <w:p w14:paraId="0626EA89" w14:textId="77777777" w:rsidR="00EC0CBC" w:rsidRPr="00784C62" w:rsidRDefault="00EC0CBC" w:rsidP="004F7F52">
      <w:pPr>
        <w:pStyle w:val="ListParagraph"/>
        <w:numPr>
          <w:ilvl w:val="1"/>
          <w:numId w:val="6"/>
        </w:numPr>
      </w:pPr>
      <w:r w:rsidRPr="00784C62">
        <w:t>Plans for the next year</w:t>
      </w:r>
    </w:p>
    <w:p w14:paraId="1E004903" w14:textId="77777777" w:rsidR="00EC0CBC" w:rsidRPr="00784C62" w:rsidRDefault="00EC0CBC" w:rsidP="004F7F52">
      <w:pPr>
        <w:pStyle w:val="ListParagraph"/>
        <w:numPr>
          <w:ilvl w:val="0"/>
          <w:numId w:val="6"/>
        </w:numPr>
      </w:pPr>
      <w:r w:rsidRPr="00784C62">
        <w:t xml:space="preserve">Program reports: </w:t>
      </w:r>
      <w:r w:rsidRPr="004F7F52">
        <w:rPr>
          <w:i/>
          <w:iCs/>
        </w:rPr>
        <w:t>FIRST</w:t>
      </w:r>
      <w:r w:rsidRPr="00784C62">
        <w:t xml:space="preserve"> programs, REC Foundation </w:t>
      </w:r>
      <w:proofErr w:type="gramStart"/>
      <w:r w:rsidRPr="00784C62">
        <w:t>programs</w:t>
      </w:r>
      <w:proofErr w:type="gramEnd"/>
    </w:p>
    <w:p w14:paraId="0BFDB742" w14:textId="77777777" w:rsidR="00EC0CBC" w:rsidRPr="00784C62" w:rsidRDefault="00EC0CBC" w:rsidP="004F7F52">
      <w:pPr>
        <w:pStyle w:val="ListParagraph"/>
        <w:numPr>
          <w:ilvl w:val="1"/>
          <w:numId w:val="6"/>
        </w:numPr>
      </w:pPr>
      <w:r w:rsidRPr="00784C62">
        <w:t xml:space="preserve">Other developments not mentioned </w:t>
      </w:r>
      <w:proofErr w:type="gramStart"/>
      <w:r w:rsidRPr="00784C62">
        <w:t>previously</w:t>
      </w:r>
      <w:proofErr w:type="gramEnd"/>
    </w:p>
    <w:p w14:paraId="1F6C172D" w14:textId="77777777" w:rsidR="00EC0CBC" w:rsidRPr="00784C62" w:rsidRDefault="00EC0CBC" w:rsidP="004F7F52">
      <w:pPr>
        <w:pStyle w:val="ListParagraph"/>
        <w:numPr>
          <w:ilvl w:val="0"/>
          <w:numId w:val="6"/>
        </w:numPr>
      </w:pPr>
      <w:r w:rsidRPr="00784C62">
        <w:t>Schedule next meetings</w:t>
      </w:r>
    </w:p>
    <w:p w14:paraId="5D759FC2" w14:textId="273F0D15" w:rsidR="00EC0CBC" w:rsidRDefault="00EC0CBC" w:rsidP="00A15435">
      <w:pPr>
        <w:rPr>
          <w:b/>
          <w:bCs/>
        </w:rPr>
      </w:pPr>
    </w:p>
    <w:p w14:paraId="26413DAF" w14:textId="71403B4C" w:rsidR="004F7F52" w:rsidRPr="004F7F52" w:rsidRDefault="004F7F52" w:rsidP="00A15435">
      <w:r>
        <w:rPr>
          <w:b/>
          <w:bCs/>
        </w:rPr>
        <w:t>Meeting convened at:</w:t>
      </w:r>
      <w:r w:rsidRPr="004F7F52">
        <w:t xml:space="preserve"> </w:t>
      </w:r>
    </w:p>
    <w:p w14:paraId="79CD3269" w14:textId="77777777" w:rsidR="004F7F52" w:rsidRPr="00784C62" w:rsidRDefault="004F7F52" w:rsidP="00A15435">
      <w:pPr>
        <w:rPr>
          <w:b/>
          <w:bCs/>
        </w:rPr>
      </w:pPr>
    </w:p>
    <w:p w14:paraId="472638DD" w14:textId="19ECE789" w:rsidR="00EC0CBC" w:rsidRPr="00784C62" w:rsidRDefault="004F7F52" w:rsidP="004F7F52">
      <w:pPr>
        <w:ind w:left="360" w:hanging="360"/>
      </w:pPr>
      <w:r>
        <w:rPr>
          <w:b/>
          <w:bCs/>
        </w:rPr>
        <w:t xml:space="preserve">Review and Approve </w:t>
      </w:r>
      <w:r w:rsidR="00EC0CBC" w:rsidRPr="00784C62">
        <w:rPr>
          <w:b/>
          <w:bCs/>
        </w:rPr>
        <w:t xml:space="preserve">Minutes of the </w:t>
      </w:r>
      <w:r>
        <w:rPr>
          <w:b/>
          <w:bCs/>
        </w:rPr>
        <w:t xml:space="preserve">Previous </w:t>
      </w:r>
      <w:r w:rsidR="00EC0CBC" w:rsidRPr="00784C62">
        <w:rPr>
          <w:b/>
          <w:bCs/>
        </w:rPr>
        <w:t xml:space="preserve">Board </w:t>
      </w:r>
      <w:r>
        <w:rPr>
          <w:b/>
          <w:bCs/>
        </w:rPr>
        <w:t>M</w:t>
      </w:r>
      <w:r w:rsidR="00EC0CBC" w:rsidRPr="00784C62">
        <w:rPr>
          <w:b/>
          <w:bCs/>
        </w:rPr>
        <w:t>eeting</w:t>
      </w:r>
      <w:r w:rsidR="00EC0CBC" w:rsidRPr="00784C62">
        <w:t xml:space="preserve"> held on </w:t>
      </w:r>
      <w:r w:rsidR="00784C62">
        <w:t>November 8</w:t>
      </w:r>
      <w:r w:rsidR="00EC0CBC" w:rsidRPr="00784C62">
        <w:t>, 2023</w:t>
      </w:r>
      <w:r w:rsidR="00784C62">
        <w:t xml:space="preserve">: </w:t>
      </w:r>
      <w:r w:rsidR="00EC0CBC" w:rsidRPr="00784C62">
        <w:t>Minutes for all Board meetings are posted at:</w:t>
      </w:r>
    </w:p>
    <w:p w14:paraId="2060584C" w14:textId="77777777" w:rsidR="00EC0CBC" w:rsidRPr="00784C62" w:rsidRDefault="00000000" w:rsidP="00A15435">
      <w:pPr>
        <w:ind w:left="720"/>
      </w:pPr>
      <w:hyperlink r:id="rId8" w:history="1">
        <w:r w:rsidR="00EC0CBC" w:rsidRPr="00784C62">
          <w:rPr>
            <w:rStyle w:val="Hyperlink"/>
          </w:rPr>
          <w:t>http://larobotics.org/B</w:t>
        </w:r>
        <w:r w:rsidR="00EC0CBC" w:rsidRPr="00784C62">
          <w:rPr>
            <w:rStyle w:val="Hyperlink"/>
          </w:rPr>
          <w:t>o</w:t>
        </w:r>
        <w:r w:rsidR="00EC0CBC" w:rsidRPr="00784C62">
          <w:rPr>
            <w:rStyle w:val="Hyperlink"/>
          </w:rPr>
          <w:t>ardMeetings.html</w:t>
        </w:r>
      </w:hyperlink>
    </w:p>
    <w:p w14:paraId="2BF185C2" w14:textId="77777777" w:rsidR="00EC0CBC" w:rsidRPr="00784C62" w:rsidRDefault="00EC0CBC" w:rsidP="00A15435"/>
    <w:p w14:paraId="3BE8A461" w14:textId="5AF9A357" w:rsidR="00EC0CBC" w:rsidRPr="0043384F" w:rsidRDefault="004F7F52" w:rsidP="004F7F52">
      <w:pPr>
        <w:ind w:left="360" w:hanging="360"/>
      </w:pPr>
      <w:r>
        <w:rPr>
          <w:b/>
          <w:bCs/>
          <w:color w:val="000000"/>
        </w:rPr>
        <w:t xml:space="preserve">Review </w:t>
      </w:r>
      <w:r w:rsidR="00EC0CBC" w:rsidRPr="00784C62">
        <w:rPr>
          <w:b/>
          <w:bCs/>
          <w:color w:val="000000"/>
        </w:rPr>
        <w:t>Liability Insurance</w:t>
      </w:r>
      <w:r>
        <w:rPr>
          <w:b/>
          <w:bCs/>
          <w:color w:val="000000"/>
        </w:rPr>
        <w:t xml:space="preserve"> Coverage</w:t>
      </w:r>
      <w:r w:rsidR="00EC0CBC" w:rsidRPr="00784C62">
        <w:rPr>
          <w:b/>
          <w:bCs/>
          <w:color w:val="000000"/>
        </w:rPr>
        <w:t xml:space="preserve">. </w:t>
      </w:r>
      <w:r w:rsidR="00EC0CBC" w:rsidRPr="00784C62">
        <w:rPr>
          <w:color w:val="000000"/>
        </w:rPr>
        <w:t xml:space="preserve">We need General Liability coverage to get Directors &amp; Officers Liability coverage. </w:t>
      </w:r>
      <w:r w:rsidR="00791E53">
        <w:rPr>
          <w:color w:val="000000"/>
        </w:rPr>
        <w:t xml:space="preserve">We added </w:t>
      </w:r>
      <w:r w:rsidR="00EC0CBC" w:rsidRPr="00784C62">
        <w:t xml:space="preserve">Commercial Auto Liability </w:t>
      </w:r>
      <w:r w:rsidR="00791E53">
        <w:t>to</w:t>
      </w:r>
      <w:r w:rsidR="0014664E">
        <w:t xml:space="preserve"> General Liability </w:t>
      </w:r>
      <w:r w:rsidR="00EC0CBC" w:rsidRPr="00784C62">
        <w:t xml:space="preserve">to cover truck rentals. </w:t>
      </w:r>
      <w:r w:rsidR="00EC0CBC" w:rsidRPr="00784C62">
        <w:rPr>
          <w:color w:val="000000"/>
        </w:rPr>
        <w:t xml:space="preserve">The </w:t>
      </w:r>
      <w:r w:rsidR="00EC0CBC" w:rsidRPr="00784C62">
        <w:t xml:space="preserve">first monthly </w:t>
      </w:r>
      <w:r w:rsidR="00EC0CBC" w:rsidRPr="00784C62">
        <w:rPr>
          <w:color w:val="000000"/>
        </w:rPr>
        <w:t xml:space="preserve">premium payment </w:t>
      </w:r>
      <w:r w:rsidR="00EE0921">
        <w:t>is</w:t>
      </w:r>
      <w:r w:rsidR="00EC0CBC" w:rsidRPr="00784C62">
        <w:rPr>
          <w:color w:val="000000"/>
        </w:rPr>
        <w:t xml:space="preserve"> due May 15</w:t>
      </w:r>
      <w:r w:rsidR="00EE0921">
        <w:rPr>
          <w:color w:val="000000"/>
        </w:rPr>
        <w:t xml:space="preserve"> for coverage that starts May 31</w:t>
      </w:r>
      <w:r w:rsidR="00EC0CBC" w:rsidRPr="00784C62">
        <w:rPr>
          <w:color w:val="000000"/>
        </w:rPr>
        <w:t xml:space="preserve">. </w:t>
      </w:r>
      <w:r w:rsidR="00537691">
        <w:rPr>
          <w:color w:val="000000"/>
        </w:rPr>
        <w:t xml:space="preserve">Since all </w:t>
      </w:r>
      <w:r w:rsidR="00537691">
        <w:rPr>
          <w:rFonts w:eastAsia="Times New Roman"/>
        </w:rPr>
        <w:t xml:space="preserve">Nelson Team Grant </w:t>
      </w:r>
      <w:r w:rsidR="00537691">
        <w:rPr>
          <w:color w:val="000000"/>
        </w:rPr>
        <w:t>events are hosted by schools</w:t>
      </w:r>
      <w:r w:rsidR="00791E53">
        <w:rPr>
          <w:color w:val="000000"/>
        </w:rPr>
        <w:t xml:space="preserve"> as official school events</w:t>
      </w:r>
      <w:r w:rsidR="00537691">
        <w:rPr>
          <w:color w:val="000000"/>
        </w:rPr>
        <w:t>, w</w:t>
      </w:r>
      <w:r w:rsidR="00EC0CBC" w:rsidRPr="00784C62">
        <w:t xml:space="preserve">e have not needed to supply </w:t>
      </w:r>
      <w:r w:rsidR="00537691">
        <w:t xml:space="preserve">an </w:t>
      </w:r>
      <w:r w:rsidR="00EC0CBC" w:rsidRPr="00784C62">
        <w:t>Additional Insured certificate</w:t>
      </w:r>
      <w:bookmarkStart w:id="0" w:name="_Hlk166069550"/>
      <w:r w:rsidR="00537691">
        <w:t xml:space="preserve"> since 2019.</w:t>
      </w:r>
      <w:r w:rsidR="0043384F">
        <w:t xml:space="preserve"> We provide 2-10 volunteers for events and LeRoy trains coaches at his home.</w:t>
      </w:r>
    </w:p>
    <w:bookmarkEnd w:id="0"/>
    <w:p w14:paraId="6A74DEE4" w14:textId="77777777" w:rsidR="00822A6C" w:rsidRDefault="00822A6C" w:rsidP="00822A6C"/>
    <w:p w14:paraId="36AA7BBD" w14:textId="2CB13C30" w:rsidR="00822A6C" w:rsidRDefault="00031578" w:rsidP="00822A6C">
      <w:pPr>
        <w:rPr>
          <w:rFonts w:eastAsiaTheme="minorHAnsi"/>
        </w:rPr>
      </w:pPr>
      <w:r>
        <w:t>The</w:t>
      </w:r>
      <w:r w:rsidR="00822A6C">
        <w:t xml:space="preserve"> </w:t>
      </w:r>
      <w:r>
        <w:t xml:space="preserve">Commercial General Liability Policy Renewal </w:t>
      </w:r>
      <w:r w:rsidR="00822A6C">
        <w:t>is based on the following:</w:t>
      </w:r>
    </w:p>
    <w:p w14:paraId="4559E29E" w14:textId="77777777" w:rsidR="00822A6C" w:rsidRDefault="00822A6C" w:rsidP="00822A6C"/>
    <w:p w14:paraId="2457A2E3" w14:textId="77777777" w:rsidR="00822A6C" w:rsidRDefault="00822A6C" w:rsidP="00822A6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10 Part time Volunteers only volunteering with the organization throughout the year. </w:t>
      </w:r>
    </w:p>
    <w:p w14:paraId="5110AFFC" w14:textId="77777777" w:rsidR="00822A6C" w:rsidRDefault="00822A6C" w:rsidP="00822A6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Having a total of only 400 Members/Participants for </w:t>
      </w:r>
      <w:proofErr w:type="gramStart"/>
      <w:r>
        <w:rPr>
          <w:rFonts w:eastAsia="Times New Roman"/>
        </w:rPr>
        <w:t>12</w:t>
      </w:r>
      <w:proofErr w:type="gramEnd"/>
      <w:r>
        <w:rPr>
          <w:rFonts w:eastAsia="Times New Roman"/>
        </w:rPr>
        <w:t>-month period for all teams and events.</w:t>
      </w:r>
    </w:p>
    <w:p w14:paraId="083C485E" w14:textId="760AD6AA" w:rsidR="00822A6C" w:rsidRDefault="00822A6C" w:rsidP="00822A6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Currently only 1 Event </w:t>
      </w:r>
      <w:r w:rsidR="00791E53">
        <w:rPr>
          <w:rFonts w:eastAsia="Times New Roman"/>
          <w:color w:val="FF0000"/>
        </w:rPr>
        <w:t>[</w:t>
      </w:r>
      <w:r w:rsidR="00537691" w:rsidRPr="00537691">
        <w:rPr>
          <w:rFonts w:eastAsia="Times New Roman"/>
          <w:color w:val="FF0000"/>
        </w:rPr>
        <w:t>the minimum</w:t>
      </w:r>
      <w:r w:rsidR="00791E53">
        <w:rPr>
          <w:rFonts w:eastAsia="Times New Roman"/>
          <w:color w:val="FF0000"/>
        </w:rPr>
        <w:t>]</w:t>
      </w:r>
      <w:r w:rsidR="00537691">
        <w:rPr>
          <w:rFonts w:eastAsia="Times New Roman"/>
        </w:rPr>
        <w:t xml:space="preserve"> </w:t>
      </w:r>
      <w:r>
        <w:rPr>
          <w:rFonts w:eastAsia="Times New Roman"/>
        </w:rPr>
        <w:t xml:space="preserve">is scheduled under the Nelson Team Grant Division for the next 12 months. </w:t>
      </w:r>
    </w:p>
    <w:p w14:paraId="0BB0EE42" w14:textId="77777777" w:rsidR="00822A6C" w:rsidRDefault="00822A6C" w:rsidP="00822A6C">
      <w:pPr>
        <w:rPr>
          <w:rFonts w:eastAsiaTheme="minorHAnsi"/>
        </w:rPr>
      </w:pPr>
    </w:p>
    <w:p w14:paraId="1DB0FE9E" w14:textId="72EE4E46" w:rsidR="00822A6C" w:rsidRDefault="00031578" w:rsidP="00822A6C">
      <w:r>
        <w:t>T</w:t>
      </w:r>
      <w:r w:rsidR="00822A6C">
        <w:t>he Directors &amp; Officers Policy Renewal is based on the following:</w:t>
      </w:r>
    </w:p>
    <w:p w14:paraId="2A24C66C" w14:textId="77777777" w:rsidR="00822A6C" w:rsidRDefault="00822A6C" w:rsidP="00822A6C"/>
    <w:p w14:paraId="5FDCDA99" w14:textId="5FF505DD" w:rsidR="00822A6C" w:rsidRDefault="00822A6C" w:rsidP="00822A6C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Your D&amp;O policy only covers Board Members without any employee/contractor exposure. If you were to hire/compensate anyone without adding EPLI coverage to your D&amp;O policy, there would be no coverage from potential Retaliation or Failure to Accommodate claims from employees.</w:t>
      </w:r>
    </w:p>
    <w:p w14:paraId="0F82EBA1" w14:textId="546BCFB4" w:rsidR="00822A6C" w:rsidRPr="00784C62" w:rsidRDefault="004F7F52" w:rsidP="00822A6C">
      <w:pPr>
        <w:rPr>
          <w:color w:val="000000"/>
        </w:rPr>
      </w:pPr>
      <w:r>
        <w:rPr>
          <w:color w:val="000000"/>
        </w:rPr>
        <w:lastRenderedPageBreak/>
        <w:t>A</w:t>
      </w:r>
      <w:r w:rsidR="00822A6C" w:rsidRPr="00784C62">
        <w:rPr>
          <w:color w:val="000000"/>
        </w:rPr>
        <w:t xml:space="preserve">nnual </w:t>
      </w:r>
      <w:r>
        <w:rPr>
          <w:color w:val="000000"/>
        </w:rPr>
        <w:t xml:space="preserve">liability insurance </w:t>
      </w:r>
      <w:r w:rsidR="00822A6C" w:rsidRPr="00784C62">
        <w:rPr>
          <w:color w:val="000000"/>
        </w:rPr>
        <w:t xml:space="preserve">premiums: </w:t>
      </w:r>
    </w:p>
    <w:p w14:paraId="66F6EEC2" w14:textId="553ADC10" w:rsidR="00EC0CBC" w:rsidRPr="00784C62" w:rsidRDefault="00EC0CBC" w:rsidP="00822A6C">
      <w:pPr>
        <w:rPr>
          <w:color w:val="000000"/>
        </w:rPr>
      </w:pPr>
      <w:r w:rsidRPr="00784C62">
        <w:rPr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123"/>
        <w:gridCol w:w="1166"/>
      </w:tblGrid>
      <w:tr w:rsidR="00784C62" w:rsidRPr="00784C62" w14:paraId="7A1FB024" w14:textId="77777777" w:rsidTr="00EC0CBC"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7A4B" w14:textId="77777777" w:rsidR="00784C62" w:rsidRPr="00784C62" w:rsidRDefault="00784C62" w:rsidP="00784C62">
            <w:pPr>
              <w:rPr>
                <w:b/>
                <w:bCs/>
              </w:rPr>
            </w:pPr>
            <w:r w:rsidRPr="00784C62">
              <w:rPr>
                <w:b/>
                <w:bCs/>
              </w:rPr>
              <w:t>Coverage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A65B6" w14:textId="6134A416" w:rsidR="00784C62" w:rsidRPr="00784C62" w:rsidRDefault="00784C62" w:rsidP="00784C62">
            <w:pPr>
              <w:jc w:val="right"/>
              <w:rPr>
                <w:b/>
                <w:bCs/>
              </w:rPr>
            </w:pPr>
            <w:r w:rsidRPr="00784C62">
              <w:rPr>
                <w:b/>
                <w:bCs/>
              </w:rPr>
              <w:t>2023</w:t>
            </w:r>
            <w:r w:rsidR="000E206B">
              <w:rPr>
                <w:b/>
                <w:bCs/>
              </w:rPr>
              <w:t>-24</w:t>
            </w:r>
          </w:p>
        </w:tc>
        <w:tc>
          <w:tcPr>
            <w:tcW w:w="11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CE87B" w14:textId="42AEF7D2" w:rsidR="00784C62" w:rsidRPr="00784C62" w:rsidRDefault="00784C62" w:rsidP="00784C62">
            <w:pPr>
              <w:jc w:val="right"/>
              <w:rPr>
                <w:b/>
                <w:bCs/>
              </w:rPr>
            </w:pPr>
            <w:r w:rsidRPr="00784C62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="000E206B">
              <w:rPr>
                <w:b/>
                <w:bCs/>
              </w:rPr>
              <w:t>-25</w:t>
            </w:r>
          </w:p>
        </w:tc>
      </w:tr>
      <w:tr w:rsidR="00784C62" w:rsidRPr="00784C62" w14:paraId="49B4F5E8" w14:textId="77777777" w:rsidTr="00EC0CBC">
        <w:tc>
          <w:tcPr>
            <w:tcW w:w="453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3FDA" w14:textId="747C40FA" w:rsidR="00784C62" w:rsidRPr="00784C62" w:rsidRDefault="00784C62" w:rsidP="00784C62">
            <w:r w:rsidRPr="00784C62">
              <w:t>Commercial General Liability (</w:t>
            </w:r>
            <w:r w:rsidR="00791E53">
              <w:t>includes Auto</w:t>
            </w:r>
            <w:r w:rsidRPr="00784C62"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F61E4" w14:textId="73966CA4" w:rsidR="00784C62" w:rsidRPr="00784C62" w:rsidRDefault="00784C62" w:rsidP="00784C62">
            <w:pPr>
              <w:jc w:val="right"/>
            </w:pPr>
            <w:r w:rsidRPr="00784C62">
              <w:t>$1,</w:t>
            </w:r>
            <w:r w:rsidR="0014664E">
              <w:t>45</w:t>
            </w:r>
            <w:r w:rsidRPr="00784C62">
              <w:t>9.00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B3D8C" w14:textId="21BAF6A3" w:rsidR="00784C62" w:rsidRPr="00784C62" w:rsidRDefault="00784C62" w:rsidP="00784C62">
            <w:pPr>
              <w:jc w:val="right"/>
            </w:pPr>
            <w:r w:rsidRPr="00784C62">
              <w:t>$1,</w:t>
            </w:r>
            <w:r w:rsidR="0014664E">
              <w:t>582</w:t>
            </w:r>
            <w:r w:rsidRPr="00784C62">
              <w:t>.00</w:t>
            </w:r>
          </w:p>
        </w:tc>
      </w:tr>
      <w:tr w:rsidR="00784C62" w:rsidRPr="00784C62" w14:paraId="796DDEE4" w14:textId="77777777" w:rsidTr="00EC0CBC">
        <w:tc>
          <w:tcPr>
            <w:tcW w:w="453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1972" w14:textId="77777777" w:rsidR="00784C62" w:rsidRPr="00784C62" w:rsidRDefault="00784C62" w:rsidP="00784C62">
            <w:r w:rsidRPr="00784C62">
              <w:t>Directors &amp; Officers Liability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22EA9" w14:textId="0535FD22" w:rsidR="00784C62" w:rsidRPr="00784C62" w:rsidRDefault="00784C62" w:rsidP="00784C62">
            <w:pPr>
              <w:jc w:val="right"/>
            </w:pPr>
            <w:r w:rsidRPr="00784C62">
              <w:t xml:space="preserve">660.00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4FA29" w14:textId="1F258C7D" w:rsidR="00784C62" w:rsidRPr="00784C62" w:rsidRDefault="0014664E" w:rsidP="00784C62">
            <w:pPr>
              <w:jc w:val="right"/>
            </w:pPr>
            <w:r>
              <w:t>759</w:t>
            </w:r>
            <w:r w:rsidR="00784C62" w:rsidRPr="00784C62">
              <w:t xml:space="preserve">.00 </w:t>
            </w:r>
          </w:p>
        </w:tc>
      </w:tr>
      <w:tr w:rsidR="00784C62" w:rsidRPr="00784C62" w14:paraId="5A7CC6D0" w14:textId="77777777" w:rsidTr="00EC0CBC">
        <w:tc>
          <w:tcPr>
            <w:tcW w:w="453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D588" w14:textId="77777777" w:rsidR="00784C62" w:rsidRPr="00784C62" w:rsidRDefault="00784C62" w:rsidP="00784C62">
            <w:r w:rsidRPr="00784C62">
              <w:t xml:space="preserve">Total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869E6" w14:textId="48D59300" w:rsidR="00784C62" w:rsidRPr="00784C62" w:rsidRDefault="00784C62" w:rsidP="00784C62">
            <w:pPr>
              <w:jc w:val="right"/>
            </w:pPr>
            <w:r w:rsidRPr="00784C62">
              <w:t xml:space="preserve">$2,119.00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34577" w14:textId="2937C3E1" w:rsidR="00784C62" w:rsidRPr="00784C62" w:rsidRDefault="00784C62" w:rsidP="00784C62">
            <w:pPr>
              <w:jc w:val="right"/>
            </w:pPr>
            <w:r w:rsidRPr="00784C62">
              <w:t>$2,</w:t>
            </w:r>
            <w:r w:rsidR="0014664E">
              <w:t>341</w:t>
            </w:r>
            <w:r w:rsidRPr="00784C62">
              <w:t xml:space="preserve">.00 </w:t>
            </w:r>
          </w:p>
        </w:tc>
      </w:tr>
    </w:tbl>
    <w:p w14:paraId="35954A52" w14:textId="77777777" w:rsidR="00EE0921" w:rsidRDefault="00EE0921" w:rsidP="00A15435">
      <w:pPr>
        <w:rPr>
          <w:color w:val="000000"/>
        </w:rPr>
      </w:pPr>
    </w:p>
    <w:p w14:paraId="2ABF658E" w14:textId="3B51082D" w:rsidR="00EC0CBC" w:rsidRPr="00784C62" w:rsidRDefault="00EC0CBC" w:rsidP="00A15435">
      <w:pPr>
        <w:rPr>
          <w:color w:val="000000"/>
        </w:rPr>
      </w:pPr>
      <w:r w:rsidRPr="00784C62">
        <w:rPr>
          <w:color w:val="000000"/>
        </w:rPr>
        <w:t>The renewal insuranc</w:t>
      </w:r>
      <w:r w:rsidR="00EE0921">
        <w:rPr>
          <w:color w:val="000000"/>
        </w:rPr>
        <w:t>e</w:t>
      </w:r>
      <w:r w:rsidRPr="00784C62">
        <w:rPr>
          <w:color w:val="000000"/>
        </w:rPr>
        <w:t xml:space="preserve"> policies are available here in case anyone would like to review them:</w:t>
      </w:r>
    </w:p>
    <w:p w14:paraId="0BA7B043" w14:textId="382DB3E4" w:rsidR="00EC0CBC" w:rsidRPr="00784C62" w:rsidRDefault="00000000" w:rsidP="00A15435">
      <w:pPr>
        <w:ind w:left="720"/>
        <w:rPr>
          <w:color w:val="000000"/>
        </w:rPr>
      </w:pPr>
      <w:hyperlink r:id="rId9" w:history="1">
        <w:r w:rsidR="00EC0CBC" w:rsidRPr="00784C62">
          <w:rPr>
            <w:rStyle w:val="Hyperlink"/>
          </w:rPr>
          <w:t>General Liabi</w:t>
        </w:r>
        <w:r w:rsidR="00EC0CBC" w:rsidRPr="00784C62">
          <w:rPr>
            <w:rStyle w:val="Hyperlink"/>
          </w:rPr>
          <w:t>l</w:t>
        </w:r>
        <w:r w:rsidR="00EC0CBC" w:rsidRPr="00784C62">
          <w:rPr>
            <w:rStyle w:val="Hyperlink"/>
          </w:rPr>
          <w:t>i</w:t>
        </w:r>
        <w:r w:rsidR="00EC0CBC" w:rsidRPr="00784C62">
          <w:rPr>
            <w:rStyle w:val="Hyperlink"/>
          </w:rPr>
          <w:t>t</w:t>
        </w:r>
        <w:r w:rsidR="00EC0CBC" w:rsidRPr="00784C62">
          <w:rPr>
            <w:rStyle w:val="Hyperlink"/>
          </w:rPr>
          <w:t>y</w:t>
        </w:r>
        <w:r w:rsidR="00EC0CBC" w:rsidRPr="00784C62">
          <w:rPr>
            <w:rStyle w:val="Hyperlink"/>
          </w:rPr>
          <w:t xml:space="preserve"> Policy</w:t>
        </w:r>
      </w:hyperlink>
      <w:r w:rsidR="00EC0CBC" w:rsidRPr="00784C62">
        <w:t xml:space="preserve"> (includes Commercial Auto Liability)</w:t>
      </w:r>
    </w:p>
    <w:p w14:paraId="3B21AC3E" w14:textId="72183BAA" w:rsidR="00EC0CBC" w:rsidRPr="00784C62" w:rsidRDefault="00000000" w:rsidP="00A15435">
      <w:pPr>
        <w:ind w:left="720"/>
        <w:rPr>
          <w:color w:val="000000"/>
        </w:rPr>
      </w:pPr>
      <w:hyperlink r:id="rId10" w:history="1">
        <w:r w:rsidR="00EC0CBC" w:rsidRPr="00784C62">
          <w:rPr>
            <w:rStyle w:val="Hyperlink"/>
          </w:rPr>
          <w:t>Directors &amp; Of</w:t>
        </w:r>
        <w:r w:rsidR="00EC0CBC" w:rsidRPr="00784C62">
          <w:rPr>
            <w:rStyle w:val="Hyperlink"/>
          </w:rPr>
          <w:t>f</w:t>
        </w:r>
        <w:r w:rsidR="00EC0CBC" w:rsidRPr="00784C62">
          <w:rPr>
            <w:rStyle w:val="Hyperlink"/>
          </w:rPr>
          <w:t>icers Policy</w:t>
        </w:r>
      </w:hyperlink>
    </w:p>
    <w:p w14:paraId="15D99F51" w14:textId="77777777" w:rsidR="00EC0CBC" w:rsidRPr="00784C62" w:rsidRDefault="00EC0CBC" w:rsidP="00A15435">
      <w:pPr>
        <w:rPr>
          <w:b/>
          <w:bCs/>
        </w:rPr>
      </w:pPr>
    </w:p>
    <w:p w14:paraId="772C0239" w14:textId="77777777" w:rsidR="004F7F52" w:rsidRDefault="004F7F52" w:rsidP="004F7F52">
      <w:pPr>
        <w:ind w:left="360" w:hanging="360"/>
      </w:pPr>
      <w:r>
        <w:rPr>
          <w:b/>
          <w:bCs/>
        </w:rPr>
        <w:t xml:space="preserve">Review </w:t>
      </w:r>
      <w:r w:rsidR="00535DD0" w:rsidRPr="00784C62">
        <w:rPr>
          <w:b/>
          <w:bCs/>
        </w:rPr>
        <w:t xml:space="preserve">Interim </w:t>
      </w:r>
      <w:r w:rsidR="00EC0CBC" w:rsidRPr="00784C62">
        <w:rPr>
          <w:b/>
          <w:bCs/>
        </w:rPr>
        <w:t>Financial Reports</w:t>
      </w:r>
      <w:r w:rsidRPr="004F7F52">
        <w:t xml:space="preserve"> </w:t>
      </w:r>
      <w:r w:rsidRPr="00784C62">
        <w:t>for the current fiscal year, which ends June 30</w:t>
      </w:r>
      <w:r w:rsidR="00EC0CBC" w:rsidRPr="00784C62">
        <w:t>.</w:t>
      </w:r>
    </w:p>
    <w:p w14:paraId="2D89FE3A" w14:textId="77777777" w:rsidR="004F7F52" w:rsidRDefault="00EC0CBC" w:rsidP="004F7F52">
      <w:pPr>
        <w:pStyle w:val="ListParagraph"/>
        <w:numPr>
          <w:ilvl w:val="0"/>
          <w:numId w:val="7"/>
        </w:numPr>
      </w:pPr>
      <w:r w:rsidRPr="00784C62">
        <w:t xml:space="preserve">The one-page </w:t>
      </w:r>
      <w:r w:rsidRPr="004F7F52">
        <w:rPr>
          <w:b/>
          <w:bCs/>
        </w:rPr>
        <w:t>Financial Report</w:t>
      </w:r>
      <w:r w:rsidRPr="00784C62">
        <w:t xml:space="preserve"> </w:t>
      </w:r>
      <w:r w:rsidRPr="004F7F52">
        <w:rPr>
          <w:b/>
          <w:bCs/>
        </w:rPr>
        <w:t>Summary</w:t>
      </w:r>
      <w:r w:rsidRPr="00784C62">
        <w:t xml:space="preserve"> provides an overview of revenue and expenses for FY 202</w:t>
      </w:r>
      <w:r w:rsidR="00791E53">
        <w:t>1</w:t>
      </w:r>
      <w:r w:rsidRPr="00784C62">
        <w:t xml:space="preserve">, </w:t>
      </w:r>
      <w:r w:rsidR="004F7F52">
        <w:t xml:space="preserve">FY </w:t>
      </w:r>
      <w:r w:rsidRPr="00784C62">
        <w:t>202</w:t>
      </w:r>
      <w:r w:rsidR="00791E53">
        <w:t>2</w:t>
      </w:r>
      <w:r w:rsidRPr="00784C62">
        <w:t xml:space="preserve">, and </w:t>
      </w:r>
      <w:r w:rsidR="004F7F52">
        <w:t xml:space="preserve">the first 10 months of FY </w:t>
      </w:r>
      <w:r w:rsidRPr="00784C62">
        <w:t>202</w:t>
      </w:r>
      <w:r w:rsidR="00791E53">
        <w:t>3</w:t>
      </w:r>
      <w:r w:rsidRPr="00784C62">
        <w:t xml:space="preserve"> </w:t>
      </w:r>
      <w:r w:rsidR="004F7F52" w:rsidRPr="00784C62">
        <w:t>(from 07-01</w:t>
      </w:r>
      <w:r w:rsidR="004F7F52">
        <w:t>-23</w:t>
      </w:r>
      <w:r w:rsidR="004F7F52" w:rsidRPr="00784C62">
        <w:t xml:space="preserve"> through 04-30</w:t>
      </w:r>
      <w:r w:rsidR="004F7F52">
        <w:t>-24</w:t>
      </w:r>
      <w:r w:rsidR="004F7F52" w:rsidRPr="00784C62">
        <w:t>)</w:t>
      </w:r>
      <w:r w:rsidRPr="00784C62">
        <w:t xml:space="preserve">. </w:t>
      </w:r>
    </w:p>
    <w:p w14:paraId="58C1A344" w14:textId="6E5E2A4F" w:rsidR="00EC0CBC" w:rsidRPr="00784C62" w:rsidRDefault="00EC0CBC" w:rsidP="004F7F52">
      <w:pPr>
        <w:pStyle w:val="ListParagraph"/>
        <w:numPr>
          <w:ilvl w:val="0"/>
          <w:numId w:val="7"/>
        </w:numPr>
      </w:pPr>
      <w:r w:rsidRPr="00784C62">
        <w:t xml:space="preserve">The full </w:t>
      </w:r>
      <w:r w:rsidR="004F7F52">
        <w:t xml:space="preserve">Interim </w:t>
      </w:r>
      <w:r w:rsidRPr="00784C62">
        <w:t>Financial Reports are posted along with prior Financial Reports at:</w:t>
      </w:r>
    </w:p>
    <w:p w14:paraId="17A1546D" w14:textId="77777777" w:rsidR="00EC0CBC" w:rsidRPr="00784C62" w:rsidRDefault="00000000" w:rsidP="00A15435">
      <w:pPr>
        <w:ind w:left="720"/>
      </w:pPr>
      <w:hyperlink r:id="rId11" w:history="1">
        <w:r w:rsidR="00EC0CBC" w:rsidRPr="00784C62">
          <w:rPr>
            <w:rStyle w:val="Hyperlink"/>
          </w:rPr>
          <w:t>http://larobotics.org/FinancialRep</w:t>
        </w:r>
        <w:r w:rsidR="00EC0CBC" w:rsidRPr="00784C62">
          <w:rPr>
            <w:rStyle w:val="Hyperlink"/>
          </w:rPr>
          <w:t>o</w:t>
        </w:r>
        <w:r w:rsidR="00EC0CBC" w:rsidRPr="00784C62">
          <w:rPr>
            <w:rStyle w:val="Hyperlink"/>
          </w:rPr>
          <w:t>rts.html</w:t>
        </w:r>
      </w:hyperlink>
    </w:p>
    <w:p w14:paraId="6A3884B7" w14:textId="42C77313" w:rsidR="00791E53" w:rsidRDefault="00EC0CBC" w:rsidP="004F7F52">
      <w:pPr>
        <w:pStyle w:val="ListParagraph"/>
        <w:numPr>
          <w:ilvl w:val="0"/>
          <w:numId w:val="7"/>
        </w:numPr>
      </w:pPr>
      <w:r w:rsidRPr="00784C62">
        <w:t xml:space="preserve">Each section of the full </w:t>
      </w:r>
      <w:r w:rsidRPr="004F7F52">
        <w:rPr>
          <w:b/>
          <w:bCs/>
        </w:rPr>
        <w:t>Financial Reports</w:t>
      </w:r>
      <w:r w:rsidRPr="00784C62">
        <w:t xml:space="preserve"> begins with a large program name (</w:t>
      </w:r>
      <w:r w:rsidRPr="004F7F52">
        <w:rPr>
          <w:b/>
          <w:bCs/>
        </w:rPr>
        <w:t xml:space="preserve">LARobotics, </w:t>
      </w:r>
      <w:r w:rsidRPr="004F7F52">
        <w:rPr>
          <w:b/>
          <w:bCs/>
          <w:color w:val="0070C0"/>
        </w:rPr>
        <w:t>NTG</w:t>
      </w:r>
      <w:r w:rsidR="007030E1" w:rsidRPr="004F7F52">
        <w:rPr>
          <w:b/>
          <w:bCs/>
        </w:rPr>
        <w:t xml:space="preserve">, </w:t>
      </w:r>
      <w:r w:rsidR="007030E1" w:rsidRPr="004F7F52">
        <w:rPr>
          <w:b/>
          <w:bCs/>
          <w:color w:val="00B050"/>
        </w:rPr>
        <w:t>Other</w:t>
      </w:r>
      <w:r w:rsidRPr="004F7F52">
        <w:rPr>
          <w:b/>
          <w:bCs/>
        </w:rPr>
        <w:t xml:space="preserve">, </w:t>
      </w:r>
      <w:r w:rsidRPr="004F7F52">
        <w:rPr>
          <w:b/>
          <w:bCs/>
          <w:color w:val="FF0000"/>
        </w:rPr>
        <w:t>SCRRF</w:t>
      </w:r>
      <w:r w:rsidRPr="00784C62">
        <w:t xml:space="preserve">) at the bottom of the account balances page. The other officers and the Audit Committee members should review the full Financial Reports and let </w:t>
      </w:r>
      <w:r w:rsidR="00791E53">
        <w:t>LeRoy</w:t>
      </w:r>
      <w:r w:rsidRPr="00784C62">
        <w:t xml:space="preserve"> know if they notice any problems or have any questions. </w:t>
      </w:r>
      <w:r w:rsidR="004F7F52">
        <w:t>The Audit Committee</w:t>
      </w:r>
      <w:r w:rsidRPr="00784C62">
        <w:t xml:space="preserve"> will do a full Audit after the full FY 202</w:t>
      </w:r>
      <w:r w:rsidR="004F7F52">
        <w:t>3</w:t>
      </w:r>
      <w:r w:rsidRPr="00784C62">
        <w:t xml:space="preserve"> Financial Reports are generated in July. </w:t>
      </w:r>
    </w:p>
    <w:p w14:paraId="10380E6A" w14:textId="51E06F42" w:rsidR="00EC0CBC" w:rsidRPr="00784C62" w:rsidRDefault="00EC0CBC" w:rsidP="00A1543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F7F52">
        <w:rPr>
          <w:rFonts w:eastAsia="Times New Roman"/>
          <w:b/>
          <w:bCs/>
        </w:rPr>
        <w:t>NTG</w:t>
      </w:r>
      <w:r w:rsidRPr="00784C62">
        <w:rPr>
          <w:rFonts w:eastAsia="Times New Roman"/>
        </w:rPr>
        <w:t xml:space="preserve">: </w:t>
      </w:r>
      <w:r w:rsidR="004F7F52">
        <w:rPr>
          <w:rFonts w:eastAsia="Times New Roman"/>
        </w:rPr>
        <w:t xml:space="preserve"> During the </w:t>
      </w:r>
      <w:r w:rsidR="004F7F52" w:rsidRPr="00784C62">
        <w:rPr>
          <w:rFonts w:eastAsia="Times New Roman"/>
        </w:rPr>
        <w:t>202</w:t>
      </w:r>
      <w:r w:rsidR="004F7F52">
        <w:rPr>
          <w:rFonts w:eastAsia="Times New Roman"/>
        </w:rPr>
        <w:t>3</w:t>
      </w:r>
      <w:r w:rsidR="004F7F52" w:rsidRPr="00784C62">
        <w:rPr>
          <w:rFonts w:eastAsia="Times New Roman"/>
        </w:rPr>
        <w:t>-202</w:t>
      </w:r>
      <w:r w:rsidR="004F7F52">
        <w:rPr>
          <w:rFonts w:eastAsia="Times New Roman"/>
        </w:rPr>
        <w:t>4</w:t>
      </w:r>
      <w:r w:rsidR="004F7F52">
        <w:rPr>
          <w:rFonts w:eastAsia="Times New Roman"/>
        </w:rPr>
        <w:t xml:space="preserve"> </w:t>
      </w:r>
      <w:r w:rsidRPr="00784C62">
        <w:rPr>
          <w:rFonts w:eastAsia="Times New Roman"/>
        </w:rPr>
        <w:t xml:space="preserve">VEX IQ Robotics season, we </w:t>
      </w:r>
    </w:p>
    <w:p w14:paraId="518DBF2A" w14:textId="11A6F151" w:rsidR="00EC0CBC" w:rsidRDefault="00EC0CBC" w:rsidP="00A15435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>Received $</w:t>
      </w:r>
      <w:r w:rsidR="007030E1">
        <w:rPr>
          <w:rFonts w:eastAsia="Times New Roman"/>
        </w:rPr>
        <w:t>50</w:t>
      </w:r>
      <w:r w:rsidRPr="00784C62">
        <w:rPr>
          <w:rFonts w:eastAsia="Times New Roman"/>
        </w:rPr>
        <w:t>K in donations</w:t>
      </w:r>
      <w:r w:rsidR="007030E1">
        <w:rPr>
          <w:rFonts w:eastAsia="Times New Roman"/>
        </w:rPr>
        <w:t xml:space="preserve"> from the Nelsons</w:t>
      </w:r>
      <w:r w:rsidRPr="00784C62">
        <w:rPr>
          <w:rFonts w:eastAsia="Times New Roman"/>
        </w:rPr>
        <w:t>.</w:t>
      </w:r>
    </w:p>
    <w:p w14:paraId="72AF29FC" w14:textId="39A21D16" w:rsidR="007030E1" w:rsidRPr="00784C62" w:rsidRDefault="007030E1" w:rsidP="00A154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Received $4</w:t>
      </w:r>
      <w:r w:rsidR="00E53997">
        <w:rPr>
          <w:rFonts w:eastAsia="Times New Roman"/>
        </w:rPr>
        <w:t>5</w:t>
      </w:r>
      <w:r>
        <w:rPr>
          <w:rFonts w:eastAsia="Times New Roman"/>
        </w:rPr>
        <w:t>K from championship registrations and $</w:t>
      </w:r>
      <w:r w:rsidR="00E53997">
        <w:rPr>
          <w:rFonts w:eastAsia="Times New Roman"/>
        </w:rPr>
        <w:t>2</w:t>
      </w:r>
      <w:r>
        <w:rPr>
          <w:rFonts w:eastAsia="Times New Roman"/>
        </w:rPr>
        <w:t>K from other sources.</w:t>
      </w:r>
    </w:p>
    <w:p w14:paraId="45EB931C" w14:textId="14E28A4D" w:rsidR="00EC0CBC" w:rsidRDefault="00EC0CBC" w:rsidP="00A15435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>Spent $</w:t>
      </w:r>
      <w:r w:rsidR="00C662AA">
        <w:rPr>
          <w:rFonts w:eastAsia="Times New Roman"/>
        </w:rPr>
        <w:t xml:space="preserve">78K on team grants and </w:t>
      </w:r>
      <w:r w:rsidR="004F7F52">
        <w:rPr>
          <w:rFonts w:eastAsia="Times New Roman"/>
        </w:rPr>
        <w:t xml:space="preserve">event host </w:t>
      </w:r>
      <w:r w:rsidR="00C662AA">
        <w:rPr>
          <w:rFonts w:eastAsia="Times New Roman"/>
        </w:rPr>
        <w:t>stipends</w:t>
      </w:r>
      <w:r w:rsidRPr="00784C62">
        <w:rPr>
          <w:rFonts w:eastAsia="Times New Roman"/>
        </w:rPr>
        <w:t>.</w:t>
      </w:r>
    </w:p>
    <w:p w14:paraId="47A8F81D" w14:textId="06E45A52" w:rsidR="004F7F52" w:rsidRPr="00784C62" w:rsidRDefault="004F7F52" w:rsidP="00A154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Spent $25K on championship and other </w:t>
      </w:r>
      <w:proofErr w:type="gramStart"/>
      <w:r>
        <w:rPr>
          <w:rFonts w:eastAsia="Times New Roman"/>
        </w:rPr>
        <w:t>expenses</w:t>
      </w:r>
      <w:proofErr w:type="gramEnd"/>
      <w:r w:rsidR="00BA59A1">
        <w:rPr>
          <w:rFonts w:eastAsia="Times New Roman"/>
        </w:rPr>
        <w:t xml:space="preserve"> </w:t>
      </w:r>
    </w:p>
    <w:p w14:paraId="7952AB6D" w14:textId="0E45E906" w:rsidR="00EC0CBC" w:rsidRPr="00784C62" w:rsidRDefault="00E53997" w:rsidP="00A154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Awaiting</w:t>
      </w:r>
      <w:r w:rsidR="00EC0CBC" w:rsidRPr="00784C62">
        <w:rPr>
          <w:rFonts w:eastAsia="Times New Roman"/>
        </w:rPr>
        <w:t xml:space="preserve"> invoice</w:t>
      </w:r>
      <w:r w:rsidR="00C662AA">
        <w:rPr>
          <w:rFonts w:eastAsia="Times New Roman"/>
        </w:rPr>
        <w:t>s</w:t>
      </w:r>
      <w:r w:rsidR="00EC0CBC" w:rsidRPr="00784C62">
        <w:rPr>
          <w:rFonts w:eastAsia="Times New Roman"/>
        </w:rPr>
        <w:t xml:space="preserve"> for estimated $</w:t>
      </w:r>
      <w:r w:rsidR="00C662AA">
        <w:rPr>
          <w:rFonts w:eastAsia="Times New Roman"/>
        </w:rPr>
        <w:t>10</w:t>
      </w:r>
      <w:r w:rsidR="00EC0CBC" w:rsidRPr="00784C62">
        <w:rPr>
          <w:rFonts w:eastAsia="Times New Roman"/>
        </w:rPr>
        <w:t>K in expenses for championships in Chatsworth.</w:t>
      </w:r>
    </w:p>
    <w:p w14:paraId="738779E4" w14:textId="77777777" w:rsidR="00EC0CBC" w:rsidRPr="00784C62" w:rsidRDefault="00EC0CBC" w:rsidP="00A1543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F7F52">
        <w:rPr>
          <w:rFonts w:eastAsia="Times New Roman"/>
          <w:b/>
          <w:bCs/>
        </w:rPr>
        <w:t>SCRRF</w:t>
      </w:r>
      <w:r w:rsidRPr="00784C62">
        <w:rPr>
          <w:rFonts w:eastAsia="Times New Roman"/>
        </w:rPr>
        <w:t>:  No activity.</w:t>
      </w:r>
    </w:p>
    <w:p w14:paraId="01F82AAC" w14:textId="77777777" w:rsidR="00E53997" w:rsidRPr="00784C62" w:rsidRDefault="00E53997" w:rsidP="00E5399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F7F52">
        <w:rPr>
          <w:rFonts w:eastAsia="Times New Roman"/>
          <w:b/>
          <w:bCs/>
        </w:rPr>
        <w:t>Other</w:t>
      </w:r>
      <w:r w:rsidRPr="00784C62">
        <w:rPr>
          <w:rFonts w:eastAsia="Times New Roman"/>
        </w:rPr>
        <w:t>:  John Santos Memorial Scholarship</w:t>
      </w:r>
      <w:r>
        <w:rPr>
          <w:rFonts w:eastAsia="Times New Roman"/>
        </w:rPr>
        <w:t>s</w:t>
      </w:r>
      <w:r w:rsidRPr="00784C62">
        <w:rPr>
          <w:rFonts w:eastAsia="Times New Roman"/>
        </w:rPr>
        <w:t xml:space="preserve"> </w:t>
      </w:r>
      <w:r>
        <w:rPr>
          <w:rFonts w:eastAsia="Times New Roman"/>
        </w:rPr>
        <w:t>were dispensed in June 2023 (prior fiscal year)</w:t>
      </w:r>
      <w:r w:rsidRPr="00784C62">
        <w:rPr>
          <w:rFonts w:eastAsia="Times New Roman"/>
        </w:rPr>
        <w:t>.</w:t>
      </w:r>
    </w:p>
    <w:p w14:paraId="7D149B57" w14:textId="3082830B" w:rsidR="00EC0CBC" w:rsidRPr="00784C62" w:rsidRDefault="00EC0CBC" w:rsidP="00A1543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C0836">
        <w:rPr>
          <w:rFonts w:eastAsia="Times New Roman"/>
          <w:b/>
          <w:bCs/>
        </w:rPr>
        <w:t xml:space="preserve">Tax </w:t>
      </w:r>
      <w:r w:rsidR="00E53997" w:rsidRPr="00CC0836">
        <w:rPr>
          <w:rFonts w:eastAsia="Times New Roman"/>
          <w:b/>
          <w:bCs/>
        </w:rPr>
        <w:t>status</w:t>
      </w:r>
      <w:r w:rsidRPr="00784C62">
        <w:rPr>
          <w:rFonts w:eastAsia="Times New Roman"/>
        </w:rPr>
        <w:t>:</w:t>
      </w:r>
    </w:p>
    <w:p w14:paraId="1A984328" w14:textId="71797E85" w:rsidR="00EC0CBC" w:rsidRPr="00784C62" w:rsidRDefault="00EC0CBC" w:rsidP="00A15435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 xml:space="preserve">In Fiscal Year 2021, we </w:t>
      </w:r>
      <w:r w:rsidR="00771300">
        <w:rPr>
          <w:rFonts w:eastAsia="Times New Roman"/>
        </w:rPr>
        <w:t xml:space="preserve">technically </w:t>
      </w:r>
      <w:r w:rsidRPr="00784C62">
        <w:rPr>
          <w:rFonts w:eastAsia="Times New Roman"/>
        </w:rPr>
        <w:t xml:space="preserve">converted from a public charity to a private foundation </w:t>
      </w:r>
      <w:r w:rsidR="00BD5963">
        <w:rPr>
          <w:rFonts w:eastAsia="Times New Roman"/>
        </w:rPr>
        <w:t xml:space="preserve">because </w:t>
      </w:r>
      <w:r w:rsidRPr="00784C62">
        <w:rPr>
          <w:rFonts w:eastAsia="Times New Roman"/>
        </w:rPr>
        <w:t xml:space="preserve">of the </w:t>
      </w:r>
      <w:r w:rsidR="00771300">
        <w:rPr>
          <w:rFonts w:eastAsia="Times New Roman"/>
        </w:rPr>
        <w:t xml:space="preserve">extra </w:t>
      </w:r>
      <w:r w:rsidRPr="00784C62">
        <w:rPr>
          <w:rFonts w:eastAsia="Times New Roman"/>
        </w:rPr>
        <w:t>donations required to purchase equipment in advance</w:t>
      </w:r>
      <w:r w:rsidR="00771300" w:rsidRPr="00771300">
        <w:rPr>
          <w:rFonts w:eastAsia="Times New Roman"/>
        </w:rPr>
        <w:t xml:space="preserve"> </w:t>
      </w:r>
      <w:r w:rsidR="00771300">
        <w:rPr>
          <w:rFonts w:eastAsia="Times New Roman"/>
        </w:rPr>
        <w:t>and</w:t>
      </w:r>
      <w:r w:rsidR="00771300" w:rsidRPr="00784C62">
        <w:rPr>
          <w:rFonts w:eastAsia="Times New Roman"/>
        </w:rPr>
        <w:t xml:space="preserve"> </w:t>
      </w:r>
      <w:r w:rsidR="00771300" w:rsidRPr="00784C62">
        <w:rPr>
          <w:rFonts w:eastAsia="Times New Roman"/>
        </w:rPr>
        <w:t xml:space="preserve">because </w:t>
      </w:r>
      <w:r w:rsidR="00771300">
        <w:rPr>
          <w:rFonts w:eastAsia="Times New Roman"/>
        </w:rPr>
        <w:t>COVID reduced our income from other sources</w:t>
      </w:r>
      <w:r w:rsidRPr="00784C62">
        <w:rPr>
          <w:rFonts w:eastAsia="Times New Roman"/>
        </w:rPr>
        <w:t xml:space="preserve">. </w:t>
      </w:r>
    </w:p>
    <w:p w14:paraId="5E551465" w14:textId="77777777" w:rsidR="00EC0CBC" w:rsidRPr="00784C62" w:rsidRDefault="00EC0CBC" w:rsidP="00A15435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 xml:space="preserve">Our 5-year average public support percentage decreased from 33.0% in FY 2020 to 28.2% in FY 2021. </w:t>
      </w:r>
    </w:p>
    <w:p w14:paraId="00FC4FBF" w14:textId="77777777" w:rsidR="00EC0CBC" w:rsidRPr="00784C62" w:rsidRDefault="00EC0CBC" w:rsidP="00A15435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>Public charities cannot fall below 33.3% two years in a row.</w:t>
      </w:r>
    </w:p>
    <w:p w14:paraId="6A8BF8D3" w14:textId="5CF7B3D8" w:rsidR="00EC0CBC" w:rsidRPr="00784C62" w:rsidRDefault="00E53997" w:rsidP="00A154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</w:t>
      </w:r>
      <w:r w:rsidR="00EC0CBC" w:rsidRPr="00784C62">
        <w:rPr>
          <w:rFonts w:eastAsia="Times New Roman"/>
        </w:rPr>
        <w:t xml:space="preserve"> FY 2022, we </w:t>
      </w:r>
      <w:r>
        <w:rPr>
          <w:rFonts w:eastAsia="Times New Roman"/>
        </w:rPr>
        <w:t>we</w:t>
      </w:r>
      <w:r w:rsidR="00EC0CBC" w:rsidRPr="00784C62">
        <w:rPr>
          <w:rFonts w:eastAsia="Times New Roman"/>
        </w:rPr>
        <w:t xml:space="preserve">re </w:t>
      </w:r>
      <w:r w:rsidR="00771300">
        <w:rPr>
          <w:rFonts w:eastAsia="Times New Roman"/>
        </w:rPr>
        <w:t xml:space="preserve">technically </w:t>
      </w:r>
      <w:r w:rsidR="00EC0CBC" w:rsidRPr="00784C62">
        <w:rPr>
          <w:rFonts w:eastAsia="Times New Roman"/>
        </w:rPr>
        <w:t>eligible to convert from a private foundation back to a public charity.</w:t>
      </w:r>
    </w:p>
    <w:p w14:paraId="16D59777" w14:textId="5159DF90" w:rsidR="00EC0CBC" w:rsidRPr="00784C62" w:rsidRDefault="00EC0CBC" w:rsidP="00A15435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>Our 5-year average public support percentage increased to 42.</w:t>
      </w:r>
      <w:r w:rsidR="00BD5963">
        <w:rPr>
          <w:rFonts w:eastAsia="Times New Roman"/>
        </w:rPr>
        <w:t>8</w:t>
      </w:r>
      <w:r w:rsidRPr="00784C62">
        <w:rPr>
          <w:rFonts w:eastAsia="Times New Roman"/>
        </w:rPr>
        <w:t xml:space="preserve">% in FY2022. </w:t>
      </w:r>
    </w:p>
    <w:p w14:paraId="129BCB6F" w14:textId="5534D5CB" w:rsidR="000B0280" w:rsidRDefault="000B0280" w:rsidP="00A15435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>Converting back to a public charity was approved by consensus.</w:t>
      </w:r>
    </w:p>
    <w:p w14:paraId="498D80E0" w14:textId="77777777" w:rsidR="005D3755" w:rsidRDefault="00E53997" w:rsidP="00A15435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However</w:t>
      </w:r>
      <w:r w:rsidR="00CC083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5D3755">
        <w:rPr>
          <w:rFonts w:eastAsia="Times New Roman"/>
        </w:rPr>
        <w:t>the IRS rejected the return I filed as a public charity.</w:t>
      </w:r>
    </w:p>
    <w:p w14:paraId="25FCEF12" w14:textId="77182DDB" w:rsidR="00E53997" w:rsidRPr="005D3755" w:rsidRDefault="005D3755" w:rsidP="005D3755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5D3755">
        <w:rPr>
          <w:rFonts w:eastAsia="Times New Roman"/>
        </w:rPr>
        <w:t>A</w:t>
      </w:r>
      <w:r w:rsidR="00E53997" w:rsidRPr="005D3755">
        <w:rPr>
          <w:rFonts w:eastAsia="Times New Roman"/>
        </w:rPr>
        <w:t xml:space="preserve"> specially worded letter to </w:t>
      </w:r>
      <w:r>
        <w:rPr>
          <w:rFonts w:eastAsia="Times New Roman"/>
        </w:rPr>
        <w:t xml:space="preserve">the </w:t>
      </w:r>
      <w:r w:rsidR="00E53997" w:rsidRPr="005D3755">
        <w:rPr>
          <w:rFonts w:eastAsia="Times New Roman"/>
        </w:rPr>
        <w:t xml:space="preserve">IRS </w:t>
      </w:r>
      <w:r w:rsidR="00CC0836" w:rsidRPr="005D3755">
        <w:rPr>
          <w:rFonts w:eastAsia="Times New Roman"/>
        </w:rPr>
        <w:t xml:space="preserve">was </w:t>
      </w:r>
      <w:r>
        <w:rPr>
          <w:rFonts w:eastAsia="Times New Roman"/>
        </w:rPr>
        <w:t>needed</w:t>
      </w:r>
      <w:r w:rsidR="00CC0836" w:rsidRPr="005D3755">
        <w:rPr>
          <w:rFonts w:eastAsia="Times New Roman"/>
        </w:rPr>
        <w:t xml:space="preserve"> </w:t>
      </w:r>
      <w:r w:rsidR="00E53997" w:rsidRPr="005D3755">
        <w:rPr>
          <w:rFonts w:eastAsia="Times New Roman"/>
        </w:rPr>
        <w:t xml:space="preserve">to </w:t>
      </w:r>
      <w:r w:rsidR="00CC0836" w:rsidRPr="005D3755">
        <w:rPr>
          <w:rFonts w:eastAsia="Times New Roman"/>
        </w:rPr>
        <w:t>change</w:t>
      </w:r>
      <w:r w:rsidR="00E53997" w:rsidRPr="005D3755">
        <w:rPr>
          <w:rFonts w:eastAsia="Times New Roman"/>
        </w:rPr>
        <w:t xml:space="preserve"> our status to public charity.</w:t>
      </w:r>
    </w:p>
    <w:p w14:paraId="5E7A26CD" w14:textId="6FC3C13B" w:rsidR="00CC0836" w:rsidRDefault="00CC0836" w:rsidP="00A15435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 electronically </w:t>
      </w:r>
      <w:r w:rsidR="005473A8">
        <w:rPr>
          <w:rFonts w:eastAsia="Times New Roman"/>
        </w:rPr>
        <w:t>request</w:t>
      </w:r>
      <w:r w:rsidR="004F7F52">
        <w:rPr>
          <w:rFonts w:eastAsia="Times New Roman"/>
        </w:rPr>
        <w:t>ed</w:t>
      </w:r>
      <w:r>
        <w:rPr>
          <w:rFonts w:eastAsia="Times New Roman"/>
        </w:rPr>
        <w:t xml:space="preserve"> an automatic 6-month extension, which the IRS accepted and then inexplicably lost</w:t>
      </w:r>
      <w:r w:rsidR="00771300">
        <w:rPr>
          <w:rFonts w:eastAsia="Times New Roman"/>
        </w:rPr>
        <w:t xml:space="preserve">. </w:t>
      </w:r>
      <w:r w:rsidR="005473A8">
        <w:rPr>
          <w:rFonts w:eastAsia="Times New Roman"/>
        </w:rPr>
        <w:t xml:space="preserve">Last year, the IRS lost the extension form that I mailed to them. </w:t>
      </w:r>
      <w:r w:rsidR="00771300">
        <w:rPr>
          <w:rFonts w:eastAsia="Times New Roman"/>
        </w:rPr>
        <w:t>F</w:t>
      </w:r>
      <w:r>
        <w:rPr>
          <w:rFonts w:eastAsia="Times New Roman"/>
        </w:rPr>
        <w:t>or the second year in a row</w:t>
      </w:r>
      <w:r w:rsidR="00771300">
        <w:rPr>
          <w:rFonts w:eastAsia="Times New Roman"/>
        </w:rPr>
        <w:t xml:space="preserve">, the IRS sent us a bill for </w:t>
      </w:r>
      <w:r w:rsidR="005473A8">
        <w:rPr>
          <w:rFonts w:eastAsia="Times New Roman"/>
        </w:rPr>
        <w:t>$2,880 for failing to file on time</w:t>
      </w:r>
      <w:r>
        <w:rPr>
          <w:rFonts w:eastAsia="Times New Roman"/>
        </w:rPr>
        <w:t>.</w:t>
      </w:r>
    </w:p>
    <w:p w14:paraId="786A4F09" w14:textId="77777777" w:rsidR="005D3755" w:rsidRDefault="005D3755" w:rsidP="00A15435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I discovered online that our status change was approved, so I resubmitted the return.</w:t>
      </w:r>
    </w:p>
    <w:p w14:paraId="1C5E8107" w14:textId="0D6758AE" w:rsidR="005D3755" w:rsidRDefault="005D3755" w:rsidP="00A15435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 cryptic notice that my request was approved arrived weeks later.</w:t>
      </w:r>
    </w:p>
    <w:p w14:paraId="30F88A5A" w14:textId="620473CA" w:rsidR="00BD5963" w:rsidRPr="00784C62" w:rsidRDefault="00BD5963" w:rsidP="00BD596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 FY 2023, our </w:t>
      </w:r>
      <w:r w:rsidRPr="00784C62">
        <w:rPr>
          <w:rFonts w:eastAsia="Times New Roman"/>
        </w:rPr>
        <w:t xml:space="preserve">5-year average public support percentage increased to </w:t>
      </w:r>
      <w:r>
        <w:rPr>
          <w:rFonts w:eastAsia="Times New Roman"/>
        </w:rPr>
        <w:t>47.7</w:t>
      </w:r>
      <w:r w:rsidRPr="00784C62">
        <w:rPr>
          <w:rFonts w:eastAsia="Times New Roman"/>
        </w:rPr>
        <w:t>%</w:t>
      </w:r>
      <w:r w:rsidR="00771300">
        <w:rPr>
          <w:rFonts w:eastAsia="Times New Roman"/>
        </w:rPr>
        <w:t>.</w:t>
      </w:r>
    </w:p>
    <w:p w14:paraId="1B2062E2" w14:textId="77777777" w:rsidR="00EC0CBC" w:rsidRDefault="00EC0CBC" w:rsidP="00A15435"/>
    <w:p w14:paraId="4F1DDCFD" w14:textId="24BF85B2" w:rsidR="005D3755" w:rsidRPr="005D3755" w:rsidRDefault="005D3755" w:rsidP="004F7F52">
      <w:pPr>
        <w:ind w:left="360" w:hanging="360"/>
      </w:pPr>
      <w:r>
        <w:rPr>
          <w:b/>
          <w:bCs/>
        </w:rPr>
        <w:lastRenderedPageBreak/>
        <w:t xml:space="preserve">Discuss and Approve </w:t>
      </w:r>
      <w:r w:rsidRPr="005D3755">
        <w:rPr>
          <w:b/>
          <w:bCs/>
        </w:rPr>
        <w:t>D</w:t>
      </w:r>
      <w:r w:rsidRPr="005D3755">
        <w:rPr>
          <w:b/>
          <w:bCs/>
        </w:rPr>
        <w:t xml:space="preserve">isposition of </w:t>
      </w:r>
      <w:r w:rsidRPr="005D3755">
        <w:rPr>
          <w:b/>
          <w:bCs/>
        </w:rPr>
        <w:t>F</w:t>
      </w:r>
      <w:r w:rsidRPr="005D3755">
        <w:rPr>
          <w:b/>
          <w:bCs/>
        </w:rPr>
        <w:t xml:space="preserve">unds </w:t>
      </w:r>
      <w:r w:rsidRPr="005D3755">
        <w:rPr>
          <w:b/>
          <w:bCs/>
        </w:rPr>
        <w:t>H</w:t>
      </w:r>
      <w:r w:rsidRPr="005D3755">
        <w:rPr>
          <w:b/>
          <w:bCs/>
        </w:rPr>
        <w:t xml:space="preserve">eld in SCRRF </w:t>
      </w:r>
      <w:r w:rsidRPr="005D3755">
        <w:rPr>
          <w:b/>
          <w:bCs/>
        </w:rPr>
        <w:t>A</w:t>
      </w:r>
      <w:r w:rsidRPr="005D3755">
        <w:rPr>
          <w:b/>
          <w:bCs/>
        </w:rPr>
        <w:t>ccounts</w:t>
      </w:r>
      <w:r>
        <w:t>. Proposal to be presented by the SCRRF Committee.</w:t>
      </w:r>
    </w:p>
    <w:p w14:paraId="0ED47473" w14:textId="77777777" w:rsidR="005D3755" w:rsidRPr="00784C62" w:rsidRDefault="005D3755" w:rsidP="00A15435"/>
    <w:p w14:paraId="447E49D9" w14:textId="77777777" w:rsidR="00EC0CBC" w:rsidRPr="00784C62" w:rsidRDefault="00EC0CBC" w:rsidP="004F7F52">
      <w:pPr>
        <w:spacing w:after="240"/>
        <w:ind w:left="360" w:hanging="360"/>
      </w:pPr>
      <w:r w:rsidRPr="00784C62">
        <w:rPr>
          <w:b/>
          <w:bCs/>
        </w:rPr>
        <w:t>Elect Directors</w:t>
      </w:r>
      <w:r w:rsidRPr="00784C62">
        <w:t xml:space="preserve">. The two-year terms of the following directors expire after the May elections, so they will need to be re-elected if they wish to </w:t>
      </w:r>
      <w:proofErr w:type="gramStart"/>
      <w:r w:rsidRPr="00784C62">
        <w:t>continue on</w:t>
      </w:r>
      <w:proofErr w:type="gramEnd"/>
      <w:r w:rsidRPr="00784C62">
        <w:t xml:space="preserve"> the Board:</w:t>
      </w:r>
    </w:p>
    <w:tbl>
      <w:tblPr>
        <w:tblW w:w="7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087"/>
        <w:gridCol w:w="2216"/>
        <w:gridCol w:w="2248"/>
      </w:tblGrid>
      <w:tr w:rsidR="005D3755" w:rsidRPr="005D3755" w14:paraId="3E258A1B" w14:textId="77777777" w:rsidTr="005D3755"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BAABA" w14:textId="77777777" w:rsidR="005D3755" w:rsidRPr="005D3755" w:rsidRDefault="005D3755" w:rsidP="00DB3F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3755">
              <w:rPr>
                <w:rFonts w:ascii="Arial" w:hAnsi="Arial" w:cs="Arial"/>
                <w:b/>
                <w:bCs/>
              </w:rPr>
              <w:t>Director Name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1806D" w14:textId="77777777" w:rsidR="005D3755" w:rsidRPr="005D3755" w:rsidRDefault="005D3755" w:rsidP="00DB3FA2">
            <w:pPr>
              <w:rPr>
                <w:rFonts w:ascii="Arial" w:hAnsi="Arial" w:cs="Arial"/>
                <w:b/>
                <w:bCs/>
              </w:rPr>
            </w:pPr>
            <w:r w:rsidRPr="005D3755">
              <w:rPr>
                <w:rFonts w:ascii="Arial" w:hAnsi="Arial" w:cs="Arial"/>
                <w:b/>
                <w:bCs/>
              </w:rPr>
              <w:t>Office</w:t>
            </w:r>
          </w:p>
        </w:tc>
        <w:tc>
          <w:tcPr>
            <w:tcW w:w="22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BA8D427" w14:textId="77777777" w:rsidR="005D3755" w:rsidRPr="005D3755" w:rsidRDefault="005D3755" w:rsidP="00DB3FA2">
            <w:pPr>
              <w:rPr>
                <w:rFonts w:ascii="Arial" w:hAnsi="Arial" w:cs="Arial"/>
                <w:b/>
                <w:bCs/>
              </w:rPr>
            </w:pPr>
            <w:r w:rsidRPr="005D3755">
              <w:rPr>
                <w:rFonts w:ascii="Arial" w:hAnsi="Arial" w:cs="Arial"/>
                <w:b/>
                <w:bCs/>
              </w:rPr>
              <w:t xml:space="preserve">Chair / </w:t>
            </w:r>
            <w:r w:rsidRPr="005D3755">
              <w:rPr>
                <w:rFonts w:ascii="Arial" w:hAnsi="Arial" w:cs="Arial"/>
                <w:b/>
                <w:bCs/>
                <w:color w:val="FF0000"/>
              </w:rPr>
              <w:t>Program</w:t>
            </w:r>
          </w:p>
        </w:tc>
        <w:tc>
          <w:tcPr>
            <w:tcW w:w="22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6DFAE11" w14:textId="77777777" w:rsidR="005D3755" w:rsidRPr="005D3755" w:rsidRDefault="005D3755" w:rsidP="00DB3FA2">
            <w:pPr>
              <w:rPr>
                <w:rFonts w:ascii="Arial" w:hAnsi="Arial" w:cs="Arial"/>
                <w:b/>
                <w:bCs/>
              </w:rPr>
            </w:pPr>
            <w:r w:rsidRPr="005D3755">
              <w:rPr>
                <w:rFonts w:ascii="Arial" w:hAnsi="Arial" w:cs="Arial"/>
                <w:b/>
                <w:bCs/>
              </w:rPr>
              <w:t>Committees</w:t>
            </w:r>
          </w:p>
        </w:tc>
      </w:tr>
      <w:tr w:rsidR="005D3755" w:rsidRPr="005D3755" w14:paraId="7C02BDF0" w14:textId="77777777" w:rsidTr="005D3755">
        <w:tc>
          <w:tcPr>
            <w:tcW w:w="17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1609" w14:textId="77777777" w:rsidR="005D3755" w:rsidRPr="005D3755" w:rsidRDefault="005D3755" w:rsidP="00DB3FA2">
            <w:pPr>
              <w:rPr>
                <w:b/>
                <w:bCs/>
              </w:rPr>
            </w:pPr>
            <w:r w:rsidRPr="005D3755">
              <w:rPr>
                <w:b/>
                <w:bCs/>
              </w:rPr>
              <w:t>Tony Young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2425" w14:textId="77777777" w:rsidR="005D3755" w:rsidRPr="005D3755" w:rsidRDefault="005D3755" w:rsidP="00DB3FA2">
            <w:pPr>
              <w:rPr>
                <w:b/>
                <w:bCs/>
              </w:rPr>
            </w:pPr>
            <w:r w:rsidRPr="005D3755">
              <w:rPr>
                <w:b/>
                <w:bCs/>
              </w:rPr>
              <w:t>President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21D98738" w14:textId="77777777" w:rsidR="005D3755" w:rsidRPr="005D3755" w:rsidRDefault="005D3755" w:rsidP="00DB3FA2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12538DA" w14:textId="77777777" w:rsidR="005D3755" w:rsidRPr="005D3755" w:rsidRDefault="005D3755" w:rsidP="00DB3FA2">
            <w:pPr>
              <w:rPr>
                <w:b/>
                <w:bCs/>
              </w:rPr>
            </w:pPr>
            <w:r w:rsidRPr="005D3755">
              <w:rPr>
                <w:b/>
                <w:bCs/>
              </w:rPr>
              <w:t>NTG</w:t>
            </w:r>
          </w:p>
        </w:tc>
      </w:tr>
      <w:tr w:rsidR="005D3755" w:rsidRPr="00784C62" w14:paraId="2BE39C08" w14:textId="77777777" w:rsidTr="005D3755">
        <w:tc>
          <w:tcPr>
            <w:tcW w:w="17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E273" w14:textId="77777777" w:rsidR="005D3755" w:rsidRPr="00784C62" w:rsidRDefault="005D3755" w:rsidP="000850F0">
            <w:r w:rsidRPr="00784C62">
              <w:t>Stephen Stein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529B" w14:textId="4177192D" w:rsidR="005D3755" w:rsidRPr="00784C62" w:rsidRDefault="005D3755" w:rsidP="000850F0">
            <w:r>
              <w:t>VP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4DFF5D4" w14:textId="77777777" w:rsidR="005D3755" w:rsidRPr="00784C62" w:rsidRDefault="005D3755" w:rsidP="000850F0"/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EE680AF" w14:textId="77777777" w:rsidR="005D3755" w:rsidRPr="00784C62" w:rsidRDefault="005D3755" w:rsidP="000850F0">
            <w:r w:rsidRPr="00784C62">
              <w:t>NTG</w:t>
            </w:r>
          </w:p>
        </w:tc>
      </w:tr>
      <w:tr w:rsidR="005D3755" w:rsidRPr="00784C62" w14:paraId="70F90C5D" w14:textId="77777777" w:rsidTr="005D3755">
        <w:tc>
          <w:tcPr>
            <w:tcW w:w="17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899D" w14:textId="77777777" w:rsidR="005D3755" w:rsidRPr="00784C62" w:rsidRDefault="005D3755" w:rsidP="00DB3FA2">
            <w:r w:rsidRPr="00784C62">
              <w:t>Terry Wells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1564" w14:textId="77777777" w:rsidR="005D3755" w:rsidRPr="00784C62" w:rsidRDefault="005D3755" w:rsidP="00DB3FA2">
            <w:r w:rsidRPr="00784C62">
              <w:t>Secretary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0A27080" w14:textId="77777777" w:rsidR="005D3755" w:rsidRPr="00784C62" w:rsidRDefault="005D3755" w:rsidP="00DB3FA2"/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2C2A9CE" w14:textId="77777777" w:rsidR="005D3755" w:rsidRPr="00784C62" w:rsidRDefault="005D3755" w:rsidP="00DB3FA2">
            <w:r w:rsidRPr="00784C62">
              <w:t>SCRRF</w:t>
            </w:r>
          </w:p>
        </w:tc>
      </w:tr>
      <w:tr w:rsidR="005D3755" w:rsidRPr="00784C62" w14:paraId="2D692AB9" w14:textId="77777777" w:rsidTr="005D3755">
        <w:tc>
          <w:tcPr>
            <w:tcW w:w="17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4565" w14:textId="77777777" w:rsidR="005D3755" w:rsidRPr="00784C62" w:rsidRDefault="005D3755" w:rsidP="00DB3FA2">
            <w:r w:rsidRPr="00784C62">
              <w:t>LeRoy Nelson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0609" w14:textId="77777777" w:rsidR="005D3755" w:rsidRPr="00784C62" w:rsidRDefault="005D3755" w:rsidP="00DB3FA2">
            <w:r w:rsidRPr="00784C62">
              <w:t>Treasurer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1F77903" w14:textId="77777777" w:rsidR="005D3755" w:rsidRPr="00784C62" w:rsidRDefault="005D3755" w:rsidP="00DB3FA2">
            <w:r w:rsidRPr="00784C62">
              <w:t>NTG, Website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DEA37BD" w14:textId="77777777" w:rsidR="005D3755" w:rsidRPr="00784C62" w:rsidRDefault="005D3755" w:rsidP="00DB3FA2">
            <w:r w:rsidRPr="00784C62">
              <w:t>NTG, SCRRF, Website</w:t>
            </w:r>
          </w:p>
        </w:tc>
      </w:tr>
      <w:tr w:rsidR="005D3755" w:rsidRPr="00784C62" w14:paraId="22E4C3A2" w14:textId="77777777" w:rsidTr="005D3755">
        <w:tc>
          <w:tcPr>
            <w:tcW w:w="17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8C59D" w14:textId="77777777" w:rsidR="005D3755" w:rsidRPr="00784C62" w:rsidRDefault="005D3755" w:rsidP="00DB3FA2">
            <w:pPr>
              <w:rPr>
                <w:rFonts w:ascii="Times New Roman" w:hAnsi="Times New Roman" w:cs="Times New Roman"/>
              </w:rPr>
            </w:pPr>
            <w:r w:rsidRPr="00784C62">
              <w:t>Joe Petito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1D9AD" w14:textId="77777777" w:rsidR="005D3755" w:rsidRPr="00784C62" w:rsidRDefault="005D3755" w:rsidP="00DB3FA2">
            <w:r w:rsidRPr="00784C62">
              <w:t>Director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C6879D1" w14:textId="77777777" w:rsidR="005D3755" w:rsidRPr="00784C62" w:rsidRDefault="005D3755" w:rsidP="00DB3FA2">
            <w:r w:rsidRPr="00784C62">
              <w:t>SCRRF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4F163B10" w14:textId="77777777" w:rsidR="005D3755" w:rsidRPr="00784C62" w:rsidRDefault="005D3755" w:rsidP="00DB3FA2">
            <w:r w:rsidRPr="00784C62">
              <w:t>SCRRF</w:t>
            </w:r>
          </w:p>
        </w:tc>
      </w:tr>
    </w:tbl>
    <w:p w14:paraId="7111AE40" w14:textId="5184F1CD" w:rsidR="00EC0CBC" w:rsidRPr="005D3755" w:rsidRDefault="005D3755" w:rsidP="00A15435">
      <w:pPr>
        <w:spacing w:after="240"/>
        <w:rPr>
          <w:b/>
          <w:bCs/>
        </w:rPr>
      </w:pPr>
      <w:r w:rsidRPr="00784C62">
        <w:br/>
      </w:r>
      <w:r w:rsidR="00EC0CBC" w:rsidRPr="005D3755">
        <w:rPr>
          <w:b/>
          <w:bCs/>
        </w:rPr>
        <w:t>The directors whose terms do not expire in May are:</w:t>
      </w:r>
    </w:p>
    <w:tbl>
      <w:tblPr>
        <w:tblW w:w="7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079"/>
        <w:gridCol w:w="2213"/>
        <w:gridCol w:w="2308"/>
      </w:tblGrid>
      <w:tr w:rsidR="005D3755" w:rsidRPr="00784C62" w14:paraId="3E182535" w14:textId="77777777" w:rsidTr="00DB3FA2"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8A24" w14:textId="77777777" w:rsidR="005D3755" w:rsidRPr="00784C62" w:rsidRDefault="005D3755" w:rsidP="00DB3F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C62">
              <w:rPr>
                <w:rFonts w:ascii="Arial" w:hAnsi="Arial" w:cs="Arial"/>
                <w:b/>
                <w:bCs/>
              </w:rPr>
              <w:t>Director Name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87CF" w14:textId="77777777" w:rsidR="005D3755" w:rsidRPr="00784C62" w:rsidRDefault="005D3755" w:rsidP="00DB3FA2">
            <w:pPr>
              <w:rPr>
                <w:rFonts w:ascii="Arial" w:hAnsi="Arial" w:cs="Arial"/>
                <w:b/>
                <w:bCs/>
              </w:rPr>
            </w:pPr>
            <w:r w:rsidRPr="00784C62">
              <w:rPr>
                <w:rFonts w:ascii="Arial" w:hAnsi="Arial" w:cs="Arial"/>
                <w:b/>
                <w:bCs/>
              </w:rPr>
              <w:t>Office</w:t>
            </w: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23BC612" w14:textId="77777777" w:rsidR="005D3755" w:rsidRPr="00784C62" w:rsidRDefault="005D3755" w:rsidP="00DB3FA2">
            <w:pPr>
              <w:rPr>
                <w:rFonts w:ascii="Arial" w:hAnsi="Arial" w:cs="Arial"/>
                <w:b/>
                <w:bCs/>
              </w:rPr>
            </w:pPr>
            <w:r w:rsidRPr="00784C62">
              <w:rPr>
                <w:rFonts w:ascii="Arial" w:hAnsi="Arial" w:cs="Arial"/>
                <w:b/>
                <w:bCs/>
              </w:rPr>
              <w:t xml:space="preserve">Chair / </w:t>
            </w:r>
            <w:r w:rsidRPr="00784C62">
              <w:rPr>
                <w:rFonts w:ascii="Arial" w:hAnsi="Arial" w:cs="Arial"/>
                <w:b/>
                <w:bCs/>
                <w:color w:val="FF0000"/>
              </w:rPr>
              <w:t>Program</w:t>
            </w:r>
          </w:p>
        </w:tc>
        <w:tc>
          <w:tcPr>
            <w:tcW w:w="23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A2A9162" w14:textId="77777777" w:rsidR="005D3755" w:rsidRPr="00784C62" w:rsidRDefault="005D3755" w:rsidP="00DB3FA2">
            <w:pPr>
              <w:rPr>
                <w:rFonts w:ascii="Arial" w:hAnsi="Arial" w:cs="Arial"/>
                <w:b/>
                <w:bCs/>
              </w:rPr>
            </w:pPr>
            <w:r w:rsidRPr="00784C62">
              <w:rPr>
                <w:rFonts w:ascii="Arial" w:hAnsi="Arial" w:cs="Arial"/>
                <w:b/>
                <w:bCs/>
              </w:rPr>
              <w:t>Committees</w:t>
            </w:r>
          </w:p>
        </w:tc>
      </w:tr>
      <w:tr w:rsidR="005D3755" w:rsidRPr="00784C62" w14:paraId="3234EAC6" w14:textId="77777777" w:rsidTr="00DB3FA2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85C2" w14:textId="77777777" w:rsidR="005D3755" w:rsidRPr="00784C62" w:rsidRDefault="005D3755" w:rsidP="00DB3FA2">
            <w:r w:rsidRPr="00784C62">
              <w:t>Kip Louttit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275C" w14:textId="77777777" w:rsidR="005D3755" w:rsidRPr="00784C62" w:rsidRDefault="005D3755" w:rsidP="00DB3FA2">
            <w:r w:rsidRPr="00784C62">
              <w:t>Director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206E3FE" w14:textId="77777777" w:rsidR="005D3755" w:rsidRPr="00784C62" w:rsidRDefault="005D3755" w:rsidP="00DB3FA2"/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D654C81" w14:textId="77777777" w:rsidR="005D3755" w:rsidRPr="00784C62" w:rsidRDefault="005D3755" w:rsidP="00DB3FA2">
            <w:r w:rsidRPr="00784C62">
              <w:t>Audit, SCRRF</w:t>
            </w:r>
          </w:p>
        </w:tc>
      </w:tr>
      <w:tr w:rsidR="005D3755" w:rsidRPr="00784C62" w14:paraId="290880F9" w14:textId="77777777" w:rsidTr="00DB3FA2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75C9" w14:textId="77777777" w:rsidR="005D3755" w:rsidRPr="00784C62" w:rsidRDefault="005D3755" w:rsidP="00DB3FA2">
            <w:r w:rsidRPr="00784C62">
              <w:t>Anita Nelson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8146" w14:textId="77777777" w:rsidR="005D3755" w:rsidRPr="00784C62" w:rsidRDefault="005D3755" w:rsidP="00DB3FA2">
            <w:r w:rsidRPr="00784C62">
              <w:t>Director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03CA51CB" w14:textId="77777777" w:rsidR="005D3755" w:rsidRPr="00784C62" w:rsidRDefault="005D3755" w:rsidP="00DB3FA2"/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3B099CA" w14:textId="77777777" w:rsidR="005D3755" w:rsidRPr="00784C62" w:rsidRDefault="005D3755" w:rsidP="00DB3FA2">
            <w:r w:rsidRPr="00784C62">
              <w:t>NTG</w:t>
            </w:r>
          </w:p>
        </w:tc>
      </w:tr>
      <w:tr w:rsidR="005D3755" w:rsidRPr="00784C62" w14:paraId="4547E5C5" w14:textId="77777777" w:rsidTr="00DB3FA2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98D6" w14:textId="77777777" w:rsidR="005D3755" w:rsidRPr="00784C62" w:rsidRDefault="005D3755" w:rsidP="00DB3FA2">
            <w:r w:rsidRPr="00784C62">
              <w:t>Tarek Shraibiti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3569" w14:textId="77777777" w:rsidR="005D3755" w:rsidRPr="00784C62" w:rsidRDefault="005D3755" w:rsidP="00DB3FA2">
            <w:r w:rsidRPr="00784C62">
              <w:t>Director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739FE05" w14:textId="77777777" w:rsidR="005D3755" w:rsidRPr="00784C62" w:rsidRDefault="005D3755" w:rsidP="00DB3FA2">
            <w:r w:rsidRPr="00784C62">
              <w:t xml:space="preserve">Audit, </w:t>
            </w:r>
            <w:r w:rsidRPr="00784C62">
              <w:rPr>
                <w:color w:val="FF0000"/>
              </w:rPr>
              <w:t>REC Foundation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6D2EFD7" w14:textId="77777777" w:rsidR="005D3755" w:rsidRPr="00784C62" w:rsidRDefault="005D3755" w:rsidP="00DB3FA2">
            <w:r w:rsidRPr="00784C62">
              <w:t>Audit, NTG</w:t>
            </w:r>
          </w:p>
        </w:tc>
      </w:tr>
    </w:tbl>
    <w:p w14:paraId="5A4FB02C" w14:textId="110DBBBA" w:rsidR="00EC0CBC" w:rsidRPr="00784C62" w:rsidRDefault="005D3755" w:rsidP="00A15435">
      <w:pPr>
        <w:ind w:left="720"/>
      </w:pPr>
      <w:r w:rsidRPr="00784C62">
        <w:br/>
      </w:r>
      <w:r w:rsidR="00EC0CBC" w:rsidRPr="00784C62">
        <w:t xml:space="preserve">FTC = FIRST Tech Challenge, NTG = Nelson Team Grants, </w:t>
      </w:r>
      <w:r w:rsidR="00EC0CBC" w:rsidRPr="00784C62">
        <w:br/>
        <w:t>SCRRF = Southern California Regional Robotics Forum</w:t>
      </w:r>
    </w:p>
    <w:p w14:paraId="081E3584" w14:textId="77777777" w:rsidR="009248E7" w:rsidRPr="00784C62" w:rsidRDefault="009248E7" w:rsidP="004F7F52">
      <w:pPr>
        <w:ind w:left="360" w:hanging="360"/>
        <w:rPr>
          <w:b/>
          <w:bCs/>
        </w:rPr>
      </w:pPr>
    </w:p>
    <w:p w14:paraId="1F63D23F" w14:textId="03BD16BE" w:rsidR="00EC0CBC" w:rsidRPr="00784C62" w:rsidRDefault="00EC0CBC" w:rsidP="004F7F52">
      <w:pPr>
        <w:ind w:left="360" w:hanging="360"/>
      </w:pPr>
      <w:r w:rsidRPr="00784C62">
        <w:rPr>
          <w:b/>
          <w:bCs/>
        </w:rPr>
        <w:t>Elect</w:t>
      </w:r>
      <w:r w:rsidRPr="00784C62">
        <w:t xml:space="preserve"> O</w:t>
      </w:r>
      <w:r w:rsidRPr="00784C62">
        <w:rPr>
          <w:b/>
          <w:bCs/>
        </w:rPr>
        <w:t>fficers:  </w:t>
      </w:r>
      <w:r w:rsidRPr="00784C62">
        <w:t>President, Vice President, Secretary, Treasurer</w:t>
      </w:r>
    </w:p>
    <w:p w14:paraId="5FE9CC87" w14:textId="77777777" w:rsidR="00071F04" w:rsidRPr="00784C62" w:rsidRDefault="00071F04" w:rsidP="004F7F52">
      <w:pPr>
        <w:ind w:left="360" w:hanging="360"/>
      </w:pPr>
    </w:p>
    <w:p w14:paraId="4617BBB5" w14:textId="3872C435" w:rsidR="00EC0CBC" w:rsidRPr="00784C62" w:rsidRDefault="00EC0CBC" w:rsidP="004F7F52">
      <w:pPr>
        <w:ind w:left="360" w:hanging="360"/>
      </w:pPr>
      <w:r w:rsidRPr="00784C62">
        <w:rPr>
          <w:b/>
          <w:bCs/>
        </w:rPr>
        <w:t>Review Committees and Select</w:t>
      </w:r>
      <w:r w:rsidRPr="00784C62">
        <w:t xml:space="preserve"> </w:t>
      </w:r>
      <w:r w:rsidRPr="00784C62">
        <w:rPr>
          <w:b/>
          <w:bCs/>
        </w:rPr>
        <w:t>Committee Chairs</w:t>
      </w:r>
      <w:r w:rsidRPr="00784C62">
        <w:t>: Audit, NTG, SCRRF, Website</w:t>
      </w:r>
    </w:p>
    <w:p w14:paraId="796C4525" w14:textId="77777777" w:rsidR="00071F04" w:rsidRPr="00784C62" w:rsidRDefault="00071F04" w:rsidP="004F7F52">
      <w:pPr>
        <w:ind w:left="360" w:hanging="360"/>
      </w:pPr>
    </w:p>
    <w:p w14:paraId="7C60C917" w14:textId="77777777" w:rsidR="00EC0CBC" w:rsidRPr="00784C62" w:rsidRDefault="00EC0CBC" w:rsidP="004F7F52">
      <w:pPr>
        <w:ind w:left="360" w:hanging="360"/>
      </w:pPr>
      <w:r w:rsidRPr="00784C62">
        <w:rPr>
          <w:b/>
          <w:bCs/>
        </w:rPr>
        <w:t>Assign Committee Members</w:t>
      </w:r>
    </w:p>
    <w:p w14:paraId="280F801A" w14:textId="77777777" w:rsidR="00EC0CBC" w:rsidRPr="00784C62" w:rsidRDefault="00EC0CBC" w:rsidP="004F7F52">
      <w:pPr>
        <w:ind w:left="360" w:hanging="360"/>
      </w:pPr>
    </w:p>
    <w:p w14:paraId="59016A66" w14:textId="77777777" w:rsidR="00EC0CBC" w:rsidRPr="00784C62" w:rsidRDefault="00EC0CBC" w:rsidP="004F7F52">
      <w:pPr>
        <w:ind w:left="360" w:hanging="360"/>
        <w:rPr>
          <w:b/>
          <w:bCs/>
        </w:rPr>
      </w:pPr>
      <w:r w:rsidRPr="00784C62">
        <w:rPr>
          <w:b/>
          <w:bCs/>
        </w:rPr>
        <w:t>Committee Reports.</w:t>
      </w:r>
    </w:p>
    <w:p w14:paraId="661B4509" w14:textId="77777777" w:rsidR="004F7F52" w:rsidRDefault="004F7F52" w:rsidP="004F7F5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Audit:</w:t>
      </w:r>
    </w:p>
    <w:p w14:paraId="0B61E5E2" w14:textId="6BFFC2AA" w:rsidR="004F7F52" w:rsidRDefault="004F7F52" w:rsidP="004F7F5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 activity in </w:t>
      </w:r>
      <w:proofErr w:type="gramStart"/>
      <w:r>
        <w:rPr>
          <w:rFonts w:eastAsia="Times New Roman"/>
        </w:rPr>
        <w:t>last</w:t>
      </w:r>
      <w:proofErr w:type="gramEnd"/>
      <w:r>
        <w:rPr>
          <w:rFonts w:eastAsia="Times New Roman"/>
        </w:rPr>
        <w:t xml:space="preserve"> 6 months.</w:t>
      </w:r>
    </w:p>
    <w:p w14:paraId="76E8C945" w14:textId="3027050E" w:rsidR="004F7F52" w:rsidRDefault="004F7F52" w:rsidP="004F7F5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Tarek plans to review financial records for FY 2023 in July or August.</w:t>
      </w:r>
    </w:p>
    <w:p w14:paraId="265BABB7" w14:textId="63E96202" w:rsidR="00EC0CBC" w:rsidRPr="00784C62" w:rsidRDefault="00EC0CBC" w:rsidP="004F7F5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>Nelson Team Grants (NTG):</w:t>
      </w:r>
    </w:p>
    <w:p w14:paraId="25D74B19" w14:textId="7910F64D" w:rsidR="00EC0CBC" w:rsidRPr="00784C62" w:rsidRDefault="00EC0CBC" w:rsidP="00A15435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>Last VEX IQ Robotics</w:t>
      </w:r>
      <w:r w:rsidR="004F7F52">
        <w:rPr>
          <w:rFonts w:eastAsia="Times New Roman"/>
        </w:rPr>
        <w:t xml:space="preserve"> Competition</w:t>
      </w:r>
      <w:r w:rsidRPr="00784C62">
        <w:rPr>
          <w:rFonts w:eastAsia="Times New Roman"/>
        </w:rPr>
        <w:t xml:space="preserve"> season (202</w:t>
      </w:r>
      <w:r w:rsidR="004F7F52">
        <w:rPr>
          <w:rFonts w:eastAsia="Times New Roman"/>
        </w:rPr>
        <w:t>3</w:t>
      </w:r>
      <w:r w:rsidRPr="00784C62">
        <w:rPr>
          <w:rFonts w:eastAsia="Times New Roman"/>
        </w:rPr>
        <w:t>-202</w:t>
      </w:r>
      <w:r w:rsidR="004F7F52">
        <w:rPr>
          <w:rFonts w:eastAsia="Times New Roman"/>
        </w:rPr>
        <w:t>4</w:t>
      </w:r>
      <w:r w:rsidRPr="00784C62">
        <w:rPr>
          <w:rFonts w:eastAsia="Times New Roman"/>
        </w:rPr>
        <w:t xml:space="preserve">), we </w:t>
      </w:r>
    </w:p>
    <w:p w14:paraId="4F68B9B9" w14:textId="621E0F22" w:rsidR="00EC0CBC" w:rsidRPr="00784C62" w:rsidRDefault="00EC0CBC" w:rsidP="00A15435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 xml:space="preserve">Received </w:t>
      </w:r>
      <w:r w:rsidR="004F7F52">
        <w:rPr>
          <w:rFonts w:eastAsia="Times New Roman"/>
        </w:rPr>
        <w:t xml:space="preserve">increased </w:t>
      </w:r>
      <w:r w:rsidRPr="00784C62">
        <w:rPr>
          <w:rFonts w:eastAsia="Times New Roman"/>
        </w:rPr>
        <w:t>support throughout the season from Stephen Stein.</w:t>
      </w:r>
    </w:p>
    <w:p w14:paraId="224B91A6" w14:textId="631AC0B0" w:rsidR="00EC0CBC" w:rsidRPr="004F7F52" w:rsidRDefault="00EC0CBC" w:rsidP="004D51B4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4F7F52">
        <w:rPr>
          <w:rFonts w:eastAsia="Times New Roman"/>
        </w:rPr>
        <w:t xml:space="preserve">Started </w:t>
      </w:r>
      <w:r w:rsidR="004F7F52" w:rsidRPr="004F7F52">
        <w:rPr>
          <w:rFonts w:eastAsia="Times New Roman"/>
        </w:rPr>
        <w:t>16</w:t>
      </w:r>
      <w:r w:rsidRPr="004F7F52">
        <w:rPr>
          <w:rFonts w:eastAsia="Times New Roman"/>
        </w:rPr>
        <w:t xml:space="preserve"> </w:t>
      </w:r>
      <w:r w:rsidR="004F7F52" w:rsidRPr="004F7F52">
        <w:rPr>
          <w:rFonts w:eastAsia="Times New Roman"/>
        </w:rPr>
        <w:t>new schools and 41 additional teams</w:t>
      </w:r>
      <w:r w:rsidR="004F7F52">
        <w:rPr>
          <w:rFonts w:eastAsia="Times New Roman"/>
        </w:rPr>
        <w:t>.</w:t>
      </w:r>
      <w:r w:rsidR="004F7F52" w:rsidRPr="004F7F52">
        <w:rPr>
          <w:rFonts w:eastAsia="Times New Roman"/>
        </w:rPr>
        <w:t xml:space="preserve"> R</w:t>
      </w:r>
      <w:r w:rsidRPr="004F7F52">
        <w:rPr>
          <w:rFonts w:eastAsia="Times New Roman"/>
        </w:rPr>
        <w:t xml:space="preserve">estarted </w:t>
      </w:r>
      <w:r w:rsidR="004F7F52" w:rsidRPr="004F7F52">
        <w:rPr>
          <w:rFonts w:eastAsia="Times New Roman"/>
        </w:rPr>
        <w:t>2</w:t>
      </w:r>
      <w:r w:rsidRPr="004F7F52">
        <w:rPr>
          <w:rFonts w:eastAsia="Times New Roman"/>
        </w:rPr>
        <w:t>1</w:t>
      </w:r>
      <w:r w:rsidR="004F7F52">
        <w:rPr>
          <w:rFonts w:eastAsia="Times New Roman"/>
        </w:rPr>
        <w:t xml:space="preserve"> </w:t>
      </w:r>
      <w:r w:rsidRPr="004F7F52">
        <w:rPr>
          <w:rFonts w:eastAsia="Times New Roman"/>
        </w:rPr>
        <w:t>dormant teams.</w:t>
      </w:r>
    </w:p>
    <w:p w14:paraId="1F0A0074" w14:textId="4B859EB1" w:rsidR="00EC0CBC" w:rsidRPr="00784C62" w:rsidRDefault="00EC0CBC" w:rsidP="004F7F52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 xml:space="preserve">Started </w:t>
      </w:r>
      <w:r w:rsidR="004F7F52">
        <w:rPr>
          <w:rFonts w:eastAsia="Times New Roman"/>
        </w:rPr>
        <w:t>3</w:t>
      </w:r>
      <w:r w:rsidRPr="00784C62">
        <w:rPr>
          <w:rFonts w:eastAsia="Times New Roman"/>
        </w:rPr>
        <w:t xml:space="preserve"> new leagues</w:t>
      </w:r>
      <w:r w:rsidR="004F7F52">
        <w:rPr>
          <w:rFonts w:eastAsia="Times New Roman"/>
        </w:rPr>
        <w:t xml:space="preserve"> and s</w:t>
      </w:r>
      <w:r w:rsidRPr="00784C62">
        <w:rPr>
          <w:rFonts w:eastAsia="Times New Roman"/>
        </w:rPr>
        <w:t xml:space="preserve">upported </w:t>
      </w:r>
      <w:r w:rsidR="004F7F52">
        <w:rPr>
          <w:rFonts w:eastAsia="Times New Roman"/>
        </w:rPr>
        <w:t>9</w:t>
      </w:r>
      <w:r w:rsidRPr="00784C62">
        <w:rPr>
          <w:rFonts w:eastAsia="Times New Roman"/>
        </w:rPr>
        <w:t xml:space="preserve"> returning leagues</w:t>
      </w:r>
      <w:r w:rsidR="004F7F52">
        <w:rPr>
          <w:rFonts w:eastAsia="Times New Roman"/>
        </w:rPr>
        <w:t xml:space="preserve"> for 282 teams.</w:t>
      </w:r>
    </w:p>
    <w:p w14:paraId="5DC02E7E" w14:textId="72B8BF3F" w:rsidR="00EC0CBC" w:rsidRPr="00784C62" w:rsidRDefault="004F7F52" w:rsidP="00A15435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Supported 4</w:t>
      </w:r>
      <w:r w:rsidR="00EC0CBC" w:rsidRPr="00784C62">
        <w:rPr>
          <w:rFonts w:eastAsia="Times New Roman"/>
        </w:rPr>
        <w:t xml:space="preserve"> </w:t>
      </w:r>
      <w:r>
        <w:rPr>
          <w:rFonts w:eastAsia="Times New Roman"/>
        </w:rPr>
        <w:t>Southern California C</w:t>
      </w:r>
      <w:r w:rsidR="00EC0CBC" w:rsidRPr="00784C62">
        <w:rPr>
          <w:rFonts w:eastAsia="Times New Roman"/>
        </w:rPr>
        <w:t>hampionships</w:t>
      </w:r>
      <w:r>
        <w:rPr>
          <w:rFonts w:eastAsia="Times New Roman"/>
        </w:rPr>
        <w:t xml:space="preserve"> for 151 teams</w:t>
      </w:r>
      <w:r w:rsidR="00EC0CBC" w:rsidRPr="00784C62">
        <w:rPr>
          <w:rFonts w:eastAsia="Times New Roman"/>
        </w:rPr>
        <w:t>.</w:t>
      </w:r>
    </w:p>
    <w:p w14:paraId="7BCE7FA0" w14:textId="41EFCB9A" w:rsidR="00EC0CBC" w:rsidRPr="00784C62" w:rsidRDefault="004F7F52" w:rsidP="00A15435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O</w:t>
      </w:r>
      <w:r w:rsidR="00EC0CBC" w:rsidRPr="00784C62">
        <w:rPr>
          <w:rFonts w:eastAsia="Times New Roman"/>
        </w:rPr>
        <w:t>ffer</w:t>
      </w:r>
      <w:r>
        <w:rPr>
          <w:rFonts w:eastAsia="Times New Roman"/>
        </w:rPr>
        <w:t>ed</w:t>
      </w:r>
      <w:r w:rsidR="00EC0CBC" w:rsidRPr="00784C62">
        <w:rPr>
          <w:rFonts w:eastAsia="Times New Roman"/>
        </w:rPr>
        <w:t xml:space="preserve"> Event Partner (EP) stipends for 1</w:t>
      </w:r>
      <w:r>
        <w:rPr>
          <w:rFonts w:eastAsia="Times New Roman"/>
        </w:rPr>
        <w:t>2</w:t>
      </w:r>
      <w:r w:rsidR="00EC0CBC" w:rsidRPr="00784C62">
        <w:rPr>
          <w:rFonts w:eastAsia="Times New Roman"/>
        </w:rPr>
        <w:t xml:space="preserve"> leagues and 4 regional championships:</w:t>
      </w:r>
    </w:p>
    <w:p w14:paraId="3C031B01" w14:textId="52E16552" w:rsidR="00EC0CBC" w:rsidRPr="00784C62" w:rsidRDefault="004F7F52" w:rsidP="00A15435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Increased EP stipends by 50% over last year</w:t>
      </w:r>
      <w:r w:rsidR="00EC0CBC" w:rsidRPr="00784C62">
        <w:rPr>
          <w:rFonts w:eastAsia="Times New Roman"/>
        </w:rPr>
        <w:t>.</w:t>
      </w:r>
    </w:p>
    <w:p w14:paraId="5E2FD532" w14:textId="6613210E" w:rsidR="00EC0CBC" w:rsidRPr="00784C62" w:rsidRDefault="004F7F52" w:rsidP="00A15435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Stipends ranged from $1,230 to $1,890.</w:t>
      </w:r>
    </w:p>
    <w:p w14:paraId="6C12C537" w14:textId="3EA0F688" w:rsidR="00EC0CBC" w:rsidRPr="00784C62" w:rsidRDefault="00EC0CBC" w:rsidP="00A15435">
      <w:pPr>
        <w:pStyle w:val="ListParagraph"/>
        <w:numPr>
          <w:ilvl w:val="3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>Unlike LAUSD, EP stipends could be split between</w:t>
      </w:r>
      <w:r w:rsidR="004F7F52">
        <w:rPr>
          <w:rFonts w:eastAsia="Times New Roman"/>
        </w:rPr>
        <w:t xml:space="preserve"> up to six</w:t>
      </w:r>
      <w:r w:rsidRPr="00784C62">
        <w:rPr>
          <w:rFonts w:eastAsia="Times New Roman"/>
        </w:rPr>
        <w:t xml:space="preserve"> EPs and key volunteers, and union membership is not required.</w:t>
      </w:r>
    </w:p>
    <w:p w14:paraId="2724B7F5" w14:textId="77777777" w:rsidR="00EC0CBC" w:rsidRPr="00784C62" w:rsidRDefault="00EC0CBC" w:rsidP="00A15435">
      <w:pPr>
        <w:pStyle w:val="ListParagraph"/>
        <w:numPr>
          <w:ilvl w:val="3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>IRS Forms W-9 and 1099 required for stipends exceeding $600.</w:t>
      </w:r>
    </w:p>
    <w:p w14:paraId="46B1F7E9" w14:textId="038DEEA1" w:rsidR="00EC0CBC" w:rsidRPr="00784C62" w:rsidRDefault="00EC0CBC" w:rsidP="00A15435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>Next season (202</w:t>
      </w:r>
      <w:r w:rsidR="004F7F52">
        <w:rPr>
          <w:rFonts w:eastAsia="Times New Roman"/>
        </w:rPr>
        <w:t>4</w:t>
      </w:r>
      <w:r w:rsidRPr="00784C62">
        <w:rPr>
          <w:rFonts w:eastAsia="Times New Roman"/>
        </w:rPr>
        <w:t>-202</w:t>
      </w:r>
      <w:r w:rsidR="004F7F52">
        <w:rPr>
          <w:rFonts w:eastAsia="Times New Roman"/>
        </w:rPr>
        <w:t>5</w:t>
      </w:r>
      <w:r w:rsidRPr="00784C62">
        <w:rPr>
          <w:rFonts w:eastAsia="Times New Roman"/>
        </w:rPr>
        <w:t>), we plan to</w:t>
      </w:r>
    </w:p>
    <w:p w14:paraId="435C4A8D" w14:textId="294F637B" w:rsidR="00EC0CBC" w:rsidRPr="004F7F52" w:rsidRDefault="00EC0CBC" w:rsidP="00A46198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4F7F52">
        <w:rPr>
          <w:rFonts w:eastAsia="Times New Roman"/>
        </w:rPr>
        <w:t xml:space="preserve">Start </w:t>
      </w:r>
      <w:r w:rsidR="004F7F52">
        <w:rPr>
          <w:rFonts w:eastAsia="Times New Roman"/>
        </w:rPr>
        <w:t>15</w:t>
      </w:r>
      <w:r w:rsidRPr="004F7F52">
        <w:rPr>
          <w:rFonts w:eastAsia="Times New Roman"/>
        </w:rPr>
        <w:t xml:space="preserve"> new </w:t>
      </w:r>
      <w:r w:rsidR="008130A0" w:rsidRPr="004F7F52">
        <w:rPr>
          <w:rFonts w:eastAsia="Times New Roman"/>
        </w:rPr>
        <w:t>schools</w:t>
      </w:r>
      <w:r w:rsidR="004F7F52" w:rsidRPr="004F7F52">
        <w:rPr>
          <w:rFonts w:eastAsia="Times New Roman"/>
        </w:rPr>
        <w:t xml:space="preserve"> and </w:t>
      </w:r>
      <w:r w:rsidR="004F7F52">
        <w:rPr>
          <w:rFonts w:eastAsia="Times New Roman"/>
        </w:rPr>
        <w:t>5</w:t>
      </w:r>
      <w:r w:rsidR="004F7F52" w:rsidRPr="004F7F52">
        <w:rPr>
          <w:rFonts w:eastAsia="Times New Roman"/>
        </w:rPr>
        <w:t xml:space="preserve">0 </w:t>
      </w:r>
      <w:r w:rsidR="008130A0" w:rsidRPr="004F7F52">
        <w:rPr>
          <w:rFonts w:eastAsia="Times New Roman"/>
        </w:rPr>
        <w:t>additional teams</w:t>
      </w:r>
      <w:r w:rsidRPr="004F7F52">
        <w:rPr>
          <w:rFonts w:eastAsia="Times New Roman"/>
        </w:rPr>
        <w:t>.</w:t>
      </w:r>
      <w:r w:rsidR="004F7F52" w:rsidRPr="004F7F52">
        <w:rPr>
          <w:rFonts w:eastAsia="Times New Roman"/>
        </w:rPr>
        <w:t xml:space="preserve"> </w:t>
      </w:r>
      <w:r w:rsidRPr="004F7F52">
        <w:rPr>
          <w:rFonts w:eastAsia="Times New Roman"/>
        </w:rPr>
        <w:t xml:space="preserve">Restart </w:t>
      </w:r>
      <w:r w:rsidR="004F7F52" w:rsidRPr="004F7F52">
        <w:rPr>
          <w:rFonts w:eastAsia="Times New Roman"/>
        </w:rPr>
        <w:t>2</w:t>
      </w:r>
      <w:r w:rsidR="004F7F52">
        <w:rPr>
          <w:rFonts w:eastAsia="Times New Roman"/>
        </w:rPr>
        <w:t>0</w:t>
      </w:r>
      <w:r w:rsidRPr="004F7F52">
        <w:rPr>
          <w:rFonts w:eastAsia="Times New Roman"/>
        </w:rPr>
        <w:t xml:space="preserve"> dormant teams.</w:t>
      </w:r>
    </w:p>
    <w:p w14:paraId="46A4E0E2" w14:textId="374F651E" w:rsidR="00EC0CBC" w:rsidRPr="00784C62" w:rsidRDefault="004F7F52" w:rsidP="00A15435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Start 3 new leagues and support 12 returning leagues for 360 teams</w:t>
      </w:r>
      <w:r w:rsidR="00EC0CBC" w:rsidRPr="00784C62">
        <w:rPr>
          <w:rFonts w:eastAsia="Times New Roman"/>
        </w:rPr>
        <w:t>.</w:t>
      </w:r>
    </w:p>
    <w:p w14:paraId="02849C57" w14:textId="0949CD54" w:rsidR="004F7F52" w:rsidRPr="00784C62" w:rsidRDefault="004F7F52" w:rsidP="004F7F52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Support 4</w:t>
      </w:r>
      <w:r w:rsidRPr="00784C62">
        <w:rPr>
          <w:rFonts w:eastAsia="Times New Roman"/>
        </w:rPr>
        <w:t xml:space="preserve"> </w:t>
      </w:r>
      <w:r>
        <w:rPr>
          <w:rFonts w:eastAsia="Times New Roman"/>
        </w:rPr>
        <w:t>Southern California C</w:t>
      </w:r>
      <w:r w:rsidRPr="00784C62">
        <w:rPr>
          <w:rFonts w:eastAsia="Times New Roman"/>
        </w:rPr>
        <w:t>hampionships</w:t>
      </w:r>
      <w:r>
        <w:rPr>
          <w:rFonts w:eastAsia="Times New Roman"/>
        </w:rPr>
        <w:t xml:space="preserve"> for 1</w:t>
      </w:r>
      <w:r>
        <w:rPr>
          <w:rFonts w:eastAsia="Times New Roman"/>
        </w:rPr>
        <w:t>60</w:t>
      </w:r>
      <w:r>
        <w:rPr>
          <w:rFonts w:eastAsia="Times New Roman"/>
        </w:rPr>
        <w:t xml:space="preserve"> teams</w:t>
      </w:r>
      <w:r w:rsidRPr="00784C62">
        <w:rPr>
          <w:rFonts w:eastAsia="Times New Roman"/>
        </w:rPr>
        <w:t>.</w:t>
      </w:r>
    </w:p>
    <w:p w14:paraId="1DE92095" w14:textId="77777777" w:rsidR="00EC0CBC" w:rsidRPr="00784C62" w:rsidRDefault="00EC0CBC" w:rsidP="00A1543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lastRenderedPageBreak/>
        <w:t xml:space="preserve">SCRRF: </w:t>
      </w:r>
    </w:p>
    <w:p w14:paraId="1393B10C" w14:textId="77777777" w:rsidR="00EC0CBC" w:rsidRPr="00784C62" w:rsidRDefault="00EC0CBC" w:rsidP="00A15435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>No past activity.</w:t>
      </w:r>
    </w:p>
    <w:p w14:paraId="0841432A" w14:textId="79693B95" w:rsidR="008130A0" w:rsidRPr="00784C62" w:rsidRDefault="004F7F52" w:rsidP="004F7F52">
      <w:pPr>
        <w:pStyle w:val="ListParagraph"/>
        <w:numPr>
          <w:ilvl w:val="1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Future plans</w:t>
      </w:r>
      <w:proofErr w:type="gramEnd"/>
      <w:r>
        <w:rPr>
          <w:rFonts w:eastAsia="Times New Roman"/>
        </w:rPr>
        <w:t xml:space="preserve"> discussed previously</w:t>
      </w:r>
      <w:r w:rsidR="008130A0" w:rsidRPr="00784C62">
        <w:rPr>
          <w:rFonts w:eastAsia="Times New Roman"/>
        </w:rPr>
        <w:t>.</w:t>
      </w:r>
    </w:p>
    <w:p w14:paraId="3929E9D8" w14:textId="77777777" w:rsidR="00EC0CBC" w:rsidRPr="00784C62" w:rsidRDefault="00EC0CBC" w:rsidP="00A1543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84C62">
        <w:rPr>
          <w:rFonts w:eastAsia="Times New Roman"/>
        </w:rPr>
        <w:t xml:space="preserve">Website: </w:t>
      </w:r>
    </w:p>
    <w:p w14:paraId="5AEE0F6E" w14:textId="58B78C75" w:rsidR="00EC0CBC" w:rsidRDefault="004F7F52" w:rsidP="00A154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Updated information for 2023-24 season.</w:t>
      </w:r>
    </w:p>
    <w:p w14:paraId="73212613" w14:textId="21DA1382" w:rsidR="004F7F52" w:rsidRPr="00784C62" w:rsidRDefault="004F7F52" w:rsidP="00A1543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Plan to update information for 2024-25 season.</w:t>
      </w:r>
    </w:p>
    <w:p w14:paraId="79D2D742" w14:textId="77777777" w:rsidR="00EC0CBC" w:rsidRPr="00784C62" w:rsidRDefault="00EC0CBC" w:rsidP="00A15435"/>
    <w:p w14:paraId="2898F930" w14:textId="0BA4AFBF" w:rsidR="00EC0CBC" w:rsidRPr="00784C62" w:rsidRDefault="00EC0CBC" w:rsidP="004F7F52">
      <w:pPr>
        <w:ind w:left="360" w:hanging="360"/>
      </w:pPr>
      <w:r w:rsidRPr="00784C62">
        <w:rPr>
          <w:b/>
          <w:bCs/>
        </w:rPr>
        <w:t>Program Reports</w:t>
      </w:r>
      <w:r w:rsidRPr="00784C62">
        <w:t>.</w:t>
      </w:r>
      <w:r w:rsidR="004F7F52">
        <w:t xml:space="preserve"> Additional information not discussed previously.</w:t>
      </w:r>
    </w:p>
    <w:p w14:paraId="0F9C63CF" w14:textId="2B2DC954" w:rsidR="00EC0CBC" w:rsidRPr="00784C62" w:rsidRDefault="00EC0CBC" w:rsidP="00A1543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84C62">
        <w:rPr>
          <w:rFonts w:eastAsia="Times New Roman"/>
        </w:rPr>
        <w:t>FIRST programs</w:t>
      </w:r>
      <w:r w:rsidR="004F7F52">
        <w:rPr>
          <w:rFonts w:eastAsia="Times New Roman"/>
        </w:rPr>
        <w:t>:</w:t>
      </w:r>
    </w:p>
    <w:p w14:paraId="7DADA69B" w14:textId="6278B673" w:rsidR="00EC0CBC" w:rsidRPr="00784C62" w:rsidRDefault="00EC0CBC" w:rsidP="00A1543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84C62">
        <w:rPr>
          <w:rFonts w:eastAsia="Times New Roman"/>
        </w:rPr>
        <w:t>REC Foundation programs</w:t>
      </w:r>
      <w:r w:rsidR="00B804BD" w:rsidRPr="00784C62">
        <w:rPr>
          <w:rFonts w:eastAsia="Times New Roman"/>
        </w:rPr>
        <w:t>:</w:t>
      </w:r>
    </w:p>
    <w:p w14:paraId="09DD812C" w14:textId="77777777" w:rsidR="00EC0CBC" w:rsidRPr="00784C62" w:rsidRDefault="00EC0CBC" w:rsidP="004F7F52">
      <w:pPr>
        <w:ind w:left="360" w:hanging="360"/>
      </w:pPr>
    </w:p>
    <w:p w14:paraId="11B12804" w14:textId="0901C337" w:rsidR="00EC0CBC" w:rsidRPr="00784C62" w:rsidRDefault="00EC0CBC" w:rsidP="004F7F52">
      <w:pPr>
        <w:ind w:left="360" w:hanging="360"/>
      </w:pPr>
      <w:r w:rsidRPr="00784C62">
        <w:rPr>
          <w:b/>
          <w:bCs/>
        </w:rPr>
        <w:t>Schedule Next Meeting</w:t>
      </w:r>
      <w:r w:rsidRPr="00784C62">
        <w:t>. November</w:t>
      </w:r>
      <w:r w:rsidR="000B0280" w:rsidRPr="00784C62">
        <w:t xml:space="preserve"> </w:t>
      </w:r>
      <w:r w:rsidR="004F7F52">
        <w:t>__</w:t>
      </w:r>
      <w:r w:rsidR="000B0280" w:rsidRPr="00784C62">
        <w:t>, 202</w:t>
      </w:r>
      <w:r w:rsidR="004F7F52">
        <w:t>4</w:t>
      </w:r>
      <w:r w:rsidR="000B0280" w:rsidRPr="00784C62">
        <w:t>, 7:00-8:00 PM via Zoom</w:t>
      </w:r>
      <w:r w:rsidRPr="00784C62">
        <w:t>.</w:t>
      </w:r>
    </w:p>
    <w:p w14:paraId="0E6FC984" w14:textId="77777777" w:rsidR="006070EF" w:rsidRPr="00784C62" w:rsidRDefault="006070EF" w:rsidP="004F7F52">
      <w:pPr>
        <w:ind w:left="360" w:hanging="360"/>
      </w:pPr>
    </w:p>
    <w:p w14:paraId="278C31DF" w14:textId="69D6224E" w:rsidR="000B0280" w:rsidRPr="004F7F52" w:rsidRDefault="000B0280" w:rsidP="004F7F52">
      <w:pPr>
        <w:ind w:left="360" w:hanging="360"/>
      </w:pPr>
      <w:r w:rsidRPr="004F7F52">
        <w:rPr>
          <w:b/>
          <w:bCs/>
        </w:rPr>
        <w:t>Meeting adjourned at</w:t>
      </w:r>
      <w:r w:rsidR="004F7F52" w:rsidRPr="004F7F52">
        <w:rPr>
          <w:b/>
          <w:bCs/>
        </w:rPr>
        <w:t>:</w:t>
      </w:r>
      <w:r w:rsidRPr="004F7F52">
        <w:t xml:space="preserve"> </w:t>
      </w:r>
    </w:p>
    <w:p w14:paraId="6F2CDF31" w14:textId="77777777" w:rsidR="000B0280" w:rsidRPr="00784C62" w:rsidRDefault="000B0280" w:rsidP="004F7F52">
      <w:pPr>
        <w:ind w:left="360" w:hanging="360"/>
      </w:pPr>
    </w:p>
    <w:p w14:paraId="384020E4" w14:textId="77777777" w:rsidR="000B0280" w:rsidRPr="00784C62" w:rsidRDefault="000B0280" w:rsidP="00A15435"/>
    <w:p w14:paraId="3DA7BD6D" w14:textId="4DA64AA0" w:rsidR="000B0280" w:rsidRDefault="004F7F52" w:rsidP="00A15435">
      <w:r>
        <w:t>Agenda</w:t>
      </w:r>
      <w:r w:rsidR="000B0280" w:rsidRPr="00784C62">
        <w:t xml:space="preserve"> submitted by LeRoy Nelson</w:t>
      </w:r>
    </w:p>
    <w:sectPr w:rsidR="000B0280" w:rsidSect="001424F4">
      <w:footerReference w:type="default" r:id="rId12"/>
      <w:pgSz w:w="12240" w:h="15840" w:code="1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AE17C" w14:textId="77777777" w:rsidR="001424F4" w:rsidRDefault="001424F4" w:rsidP="00AC2E61">
      <w:r>
        <w:separator/>
      </w:r>
    </w:p>
  </w:endnote>
  <w:endnote w:type="continuationSeparator" w:id="0">
    <w:p w14:paraId="2124211C" w14:textId="77777777" w:rsidR="001424F4" w:rsidRDefault="001424F4" w:rsidP="00A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076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FDBA8" w14:textId="1CB74495" w:rsidR="00AC2E61" w:rsidRDefault="00AC2E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03064" w14:textId="77777777" w:rsidR="001424F4" w:rsidRDefault="001424F4" w:rsidP="00AC2E61">
      <w:r>
        <w:separator/>
      </w:r>
    </w:p>
  </w:footnote>
  <w:footnote w:type="continuationSeparator" w:id="0">
    <w:p w14:paraId="3CF4934A" w14:textId="77777777" w:rsidR="001424F4" w:rsidRDefault="001424F4" w:rsidP="00AC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405E7"/>
    <w:multiLevelType w:val="hybridMultilevel"/>
    <w:tmpl w:val="D1D21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3A91"/>
    <w:multiLevelType w:val="hybridMultilevel"/>
    <w:tmpl w:val="12C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0170"/>
    <w:multiLevelType w:val="hybridMultilevel"/>
    <w:tmpl w:val="90B8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78BA"/>
    <w:multiLevelType w:val="hybridMultilevel"/>
    <w:tmpl w:val="314C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F1394"/>
    <w:multiLevelType w:val="hybridMultilevel"/>
    <w:tmpl w:val="2EA4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A071F"/>
    <w:multiLevelType w:val="hybridMultilevel"/>
    <w:tmpl w:val="E09E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58767">
    <w:abstractNumId w:val="3"/>
  </w:num>
  <w:num w:numId="2" w16cid:durableId="373849786">
    <w:abstractNumId w:val="1"/>
  </w:num>
  <w:num w:numId="3" w16cid:durableId="1407722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189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7982219">
    <w:abstractNumId w:val="0"/>
  </w:num>
  <w:num w:numId="6" w16cid:durableId="79330193">
    <w:abstractNumId w:val="2"/>
  </w:num>
  <w:num w:numId="7" w16cid:durableId="1966228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BC"/>
    <w:rsid w:val="00031578"/>
    <w:rsid w:val="00071F04"/>
    <w:rsid w:val="000B0280"/>
    <w:rsid w:val="000E206B"/>
    <w:rsid w:val="001424F4"/>
    <w:rsid w:val="0014664E"/>
    <w:rsid w:val="001B0A34"/>
    <w:rsid w:val="00232C4E"/>
    <w:rsid w:val="003533B0"/>
    <w:rsid w:val="0043384F"/>
    <w:rsid w:val="004F7F52"/>
    <w:rsid w:val="00535DD0"/>
    <w:rsid w:val="00537691"/>
    <w:rsid w:val="005473A8"/>
    <w:rsid w:val="005D3755"/>
    <w:rsid w:val="006070EF"/>
    <w:rsid w:val="006E102B"/>
    <w:rsid w:val="007030E1"/>
    <w:rsid w:val="007600E7"/>
    <w:rsid w:val="00771300"/>
    <w:rsid w:val="00784C62"/>
    <w:rsid w:val="00791E53"/>
    <w:rsid w:val="008130A0"/>
    <w:rsid w:val="00822A6C"/>
    <w:rsid w:val="008672DB"/>
    <w:rsid w:val="00915AFF"/>
    <w:rsid w:val="009248E7"/>
    <w:rsid w:val="009B26F1"/>
    <w:rsid w:val="00A15435"/>
    <w:rsid w:val="00AC2E61"/>
    <w:rsid w:val="00B804BD"/>
    <w:rsid w:val="00BA59A1"/>
    <w:rsid w:val="00BD5963"/>
    <w:rsid w:val="00C662AA"/>
    <w:rsid w:val="00CC0836"/>
    <w:rsid w:val="00D543F0"/>
    <w:rsid w:val="00E53997"/>
    <w:rsid w:val="00EC0CBC"/>
    <w:rsid w:val="00EE0921"/>
    <w:rsid w:val="00F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3EA2"/>
  <w15:chartTrackingRefBased/>
  <w15:docId w15:val="{7A0B4969-AC7B-401D-B556-DAE4C4C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BC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C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0C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C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61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61"/>
    <w:rPr>
      <w:rFonts w:ascii="Calibri" w:eastAsia="Calibri" w:hAnsi="Calibri" w:cs="Calibri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E0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obotics.org/BoardMeeting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robotics.org/FinancialReport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robotics.org/Documents/LARobotics_2024-2025_Directors_&amp;_Officers_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robotics.org/Documents/LARobotics_2024-2025_General_Liability_Polic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C35A-1594-4944-99E1-D2AF3D83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Nelson</dc:creator>
  <cp:keywords/>
  <dc:description/>
  <cp:lastModifiedBy>LeRoy Nelson</cp:lastModifiedBy>
  <cp:revision>4</cp:revision>
  <cp:lastPrinted>2024-05-09T05:36:00Z</cp:lastPrinted>
  <dcterms:created xsi:type="dcterms:W3CDTF">2024-05-09T00:21:00Z</dcterms:created>
  <dcterms:modified xsi:type="dcterms:W3CDTF">2024-05-10T01:11:00Z</dcterms:modified>
</cp:coreProperties>
</file>